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w:t>
      </w:r>
      <w:r>
        <w:rPr>
          <w:rFonts w:hint="eastAsia" w:ascii="Arial" w:hAnsi="Arial" w:cs="Arial"/>
          <w:b/>
          <w:bCs/>
          <w:snapToGrid w:val="0"/>
          <w:sz w:val="28"/>
          <w:szCs w:val="28"/>
          <w:lang w:val="en-US" w:eastAsia="zh-CN"/>
        </w:rPr>
        <w:t xml:space="preserve">21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hint="eastAsia" w:ascii="Arial" w:hAnsi="Arial" w:cs="Arial"/>
          <w:b/>
          <w:bCs/>
          <w:snapToGrid w:val="0"/>
          <w:sz w:val="28"/>
          <w:szCs w:val="28"/>
          <w:lang w:val="en-US" w:eastAsia="zh-CN"/>
        </w:rPr>
        <w:t xml:space="preserve">         </w:t>
      </w:r>
      <w:r>
        <w:rPr>
          <w:rFonts w:hint="eastAsia" w:ascii="Arial" w:hAnsi="Arial" w:cs="Arial"/>
          <w:b/>
          <w:bCs/>
          <w:snapToGrid w:val="0"/>
          <w:sz w:val="28"/>
          <w:szCs w:val="28"/>
          <w:highlight w:val="none"/>
          <w:lang w:val="en-GB"/>
        </w:rPr>
        <w:t xml:space="preserve"> </w:t>
      </w:r>
      <w:r>
        <w:rPr>
          <w:rFonts w:ascii="Arial" w:hAnsi="Arial" w:cs="Arial"/>
          <w:b/>
          <w:bCs/>
          <w:snapToGrid w:val="0"/>
          <w:sz w:val="28"/>
          <w:szCs w:val="28"/>
          <w:highlight w:val="none"/>
        </w:rPr>
        <w:t>R2-</w:t>
      </w:r>
      <w:r>
        <w:rPr>
          <w:rFonts w:hint="eastAsia" w:ascii="Arial" w:hAnsi="Arial" w:cs="Arial"/>
          <w:b/>
          <w:bCs/>
          <w:snapToGrid w:val="0"/>
          <w:sz w:val="28"/>
          <w:szCs w:val="28"/>
          <w:highlight w:val="none"/>
        </w:rPr>
        <w:t>2</w:t>
      </w:r>
      <w:r>
        <w:rPr>
          <w:rFonts w:hint="eastAsia" w:ascii="Arial" w:hAnsi="Arial" w:cs="Arial"/>
          <w:b/>
          <w:bCs/>
          <w:snapToGrid w:val="0"/>
          <w:sz w:val="28"/>
          <w:szCs w:val="28"/>
          <w:highlight w:val="none"/>
          <w:lang w:val="en-US" w:eastAsia="zh-CN"/>
        </w:rPr>
        <w:t>301245</w:t>
      </w:r>
    </w:p>
    <w:p>
      <w:pPr>
        <w:widowControl w:val="0"/>
        <w:tabs>
          <w:tab w:val="left" w:pos="1701"/>
          <w:tab w:val="right" w:pos="9923"/>
        </w:tabs>
        <w:spacing w:before="120"/>
        <w:outlineLvl w:val="0"/>
        <w:rPr>
          <w:b/>
          <w:sz w:val="24"/>
        </w:rPr>
      </w:pPr>
      <w:r>
        <w:rPr>
          <w:rFonts w:hint="eastAsia" w:ascii="Arial" w:hAnsi="Arial" w:cs="Arial"/>
          <w:b/>
          <w:bCs/>
          <w:sz w:val="28"/>
          <w:szCs w:val="28"/>
          <w:lang w:val="en-US" w:eastAsia="zh-CN"/>
        </w:rPr>
        <w:t>Athens, Feb 27</w:t>
      </w:r>
      <w:r>
        <w:rPr>
          <w:rFonts w:hint="eastAsia" w:ascii="Arial" w:hAnsi="Arial" w:cs="Arial"/>
          <w:b/>
          <w:bCs/>
          <w:sz w:val="28"/>
          <w:szCs w:val="28"/>
          <w:vertAlign w:val="superscript"/>
          <w:lang w:val="en-US" w:eastAsia="zh-CN"/>
        </w:rPr>
        <w:t>th</w:t>
      </w:r>
      <w:r>
        <w:rPr>
          <w:rFonts w:hint="eastAsia" w:ascii="Arial" w:hAnsi="Arial" w:cs="Arial"/>
          <w:b/>
          <w:bCs/>
          <w:sz w:val="28"/>
          <w:szCs w:val="28"/>
          <w:lang w:val="en-US" w:eastAsia="zh-CN"/>
        </w:rPr>
        <w:t xml:space="preserve"> -Mar 3</w:t>
      </w:r>
      <w:r>
        <w:rPr>
          <w:rFonts w:hint="eastAsia" w:ascii="Arial" w:hAnsi="Arial" w:cs="Arial"/>
          <w:b/>
          <w:bCs/>
          <w:sz w:val="28"/>
          <w:szCs w:val="28"/>
          <w:vertAlign w:val="superscript"/>
          <w:lang w:val="en-US" w:eastAsia="zh-CN"/>
        </w:rPr>
        <w:t>rd</w:t>
      </w:r>
      <w:r>
        <w:rPr>
          <w:rFonts w:hint="eastAsia" w:ascii="Arial" w:hAnsi="Arial" w:cs="Arial"/>
          <w:b/>
          <w:bCs/>
          <w:sz w:val="28"/>
          <w:szCs w:val="28"/>
          <w:lang w:val="en-GB"/>
        </w:rPr>
        <w:t xml:space="preserve"> </w:t>
      </w:r>
      <w:r>
        <w:rPr>
          <w:rFonts w:hint="eastAsia" w:ascii="Arial" w:hAnsi="Arial" w:cs="Arial"/>
          <w:b/>
          <w:bCs/>
          <w:sz w:val="28"/>
          <w:szCs w:val="28"/>
          <w:lang w:val="en-US" w:eastAsia="zh-CN"/>
        </w:rPr>
        <w:t xml:space="preserve">, </w:t>
      </w:r>
      <w:r>
        <w:rPr>
          <w:rFonts w:hint="eastAsia" w:ascii="Arial" w:hAnsi="Arial" w:cs="Arial"/>
          <w:b/>
          <w:bCs/>
          <w:sz w:val="28"/>
          <w:szCs w:val="28"/>
          <w:lang w:val="en-GB"/>
        </w:rPr>
        <w:t>202</w:t>
      </w:r>
      <w:r>
        <w:rPr>
          <w:rFonts w:hint="eastAsia" w:ascii="Arial" w:hAnsi="Arial" w:cs="Arial"/>
          <w:b/>
          <w:bCs/>
          <w:sz w:val="28"/>
          <w:szCs w:val="28"/>
        </w:rPr>
        <w:t>2</w:t>
      </w: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9D9D9"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b/>
          <w:bCs/>
          <w:snapToGrid w:val="0"/>
          <w:sz w:val="28"/>
          <w:szCs w:val="28"/>
          <w:lang w:val="en-US"/>
        </w:rPr>
      </w:pPr>
      <w:r>
        <w:rPr>
          <w:rFonts w:ascii="Arial" w:hAnsi="Arial" w:cs="Arial"/>
          <w:b/>
          <w:bCs/>
          <w:snapToGrid w:val="0"/>
          <w:sz w:val="28"/>
          <w:szCs w:val="28"/>
        </w:rPr>
        <w:t xml:space="preserve">Title: </w:t>
      </w:r>
      <w:r>
        <w:rPr>
          <w:rFonts w:hint="eastAsia" w:ascii="Arial" w:hAnsi="Arial" w:cs="Arial"/>
          <w:b/>
          <w:bCs/>
          <w:snapToGrid w:val="0"/>
          <w:sz w:val="28"/>
          <w:szCs w:val="28"/>
        </w:rPr>
        <w:t xml:space="preserve"> </w:t>
      </w:r>
      <w:r>
        <w:rPr>
          <w:rFonts w:hint="eastAsia" w:ascii="Arial" w:hAnsi="Arial" w:cs="Arial"/>
          <w:b/>
          <w:bCs/>
          <w:snapToGrid w:val="0"/>
          <w:sz w:val="28"/>
          <w:szCs w:val="28"/>
          <w:lang w:val="en-US" w:eastAsia="zh-CN"/>
        </w:rPr>
        <w:t>Discussion on MT-SDT</w:t>
      </w:r>
    </w:p>
    <w:p>
      <w:pPr>
        <w:overflowPunct w:val="0"/>
        <w:autoSpaceDE w:val="0"/>
        <w:autoSpaceDN w:val="0"/>
        <w:snapToGrid w:val="0"/>
        <w:spacing w:line="240" w:lineRule="auto"/>
        <w:textAlignment w:val="baseline"/>
        <w:outlineLvl w:val="0"/>
        <w:rPr>
          <w:rFonts w:hint="eastAsia" w:ascii="Arial" w:hAnsi="Arial" w:cs="Arial"/>
          <w:b/>
          <w:bCs/>
          <w:snapToGrid w:val="0"/>
          <w:sz w:val="28"/>
          <w:szCs w:val="28"/>
          <w:lang w:val="en-US" w:eastAsia="zh-CN"/>
        </w:rPr>
      </w:pPr>
      <w:r>
        <w:rPr>
          <w:rFonts w:ascii="Arial" w:hAnsi="Arial" w:cs="Arial"/>
          <w:b/>
          <w:bCs/>
          <w:snapToGrid w:val="0"/>
          <w:sz w:val="28"/>
          <w:szCs w:val="28"/>
        </w:rPr>
        <w:t>Agenda item</w:t>
      </w:r>
      <w:bookmarkStart w:id="0" w:name="Source"/>
      <w:bookmarkEnd w:id="0"/>
      <w:r>
        <w:rPr>
          <w:rFonts w:hint="eastAsia" w:ascii="Arial" w:hAnsi="Arial" w:cs="Arial"/>
          <w:b/>
          <w:bCs/>
          <w:snapToGrid w:val="0"/>
          <w:sz w:val="28"/>
          <w:szCs w:val="28"/>
          <w:lang w:eastAsia="zh-CN"/>
        </w:rPr>
        <w:t>：</w:t>
      </w:r>
      <w:r>
        <w:rPr>
          <w:rFonts w:hint="eastAsia" w:ascii="Arial" w:hAnsi="Arial" w:cs="Arial"/>
          <w:b/>
          <w:bCs/>
          <w:snapToGrid w:val="0"/>
          <w:sz w:val="28"/>
          <w:szCs w:val="28"/>
          <w:lang w:val="en-US" w:eastAsia="zh-CN"/>
        </w:rPr>
        <w:t xml:space="preserve"> 8.18.2</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7"/>
      <w:bookmarkStart w:id="3" w:name="OLE_LINK58"/>
      <w:r>
        <w:t>Introduction</w:t>
      </w:r>
      <w:bookmarkEnd w:id="2"/>
      <w:bookmarkEnd w:id="3"/>
    </w:p>
    <w:p>
      <w:pPr>
        <w:spacing w:after="0"/>
        <w:rPr>
          <w:rFonts w:hint="eastAsia"/>
          <w:iCs/>
          <w:sz w:val="20"/>
          <w:szCs w:val="20"/>
          <w:lang w:val="en-US" w:eastAsia="zh-CN"/>
        </w:rPr>
      </w:pPr>
      <w:r>
        <w:rPr>
          <w:rFonts w:hint="eastAsia"/>
          <w:iCs/>
          <w:sz w:val="20"/>
          <w:szCs w:val="20"/>
          <w:lang w:val="en-US" w:eastAsia="zh-CN"/>
        </w:rPr>
        <w:t>In R18,</w:t>
      </w:r>
      <w:r>
        <w:rPr>
          <w:iCs/>
          <w:sz w:val="20"/>
          <w:szCs w:val="20"/>
        </w:rPr>
        <w:t xml:space="preserve"> MT-SDT</w:t>
      </w:r>
      <w:r>
        <w:rPr>
          <w:rFonts w:hint="eastAsia"/>
          <w:iCs/>
          <w:sz w:val="20"/>
          <w:szCs w:val="20"/>
          <w:lang w:val="en-US" w:eastAsia="zh-CN"/>
        </w:rPr>
        <w:t xml:space="preserve"> </w:t>
      </w:r>
      <w:r>
        <w:rPr>
          <w:iCs/>
          <w:sz w:val="20"/>
          <w:szCs w:val="20"/>
        </w:rPr>
        <w:t>allows benefits, i.e. reducing signalling overhead and UE power consumption by not transitioning to RRC_CONNECTED and reducing latency by allowing fast transmission of small and infrequent packets, e.g. for positioning.</w:t>
      </w:r>
      <w:r>
        <w:rPr>
          <w:rFonts w:hint="eastAsia"/>
          <w:iCs/>
          <w:sz w:val="20"/>
          <w:szCs w:val="20"/>
          <w:lang w:val="en-US" w:eastAsia="zh-CN"/>
        </w:rPr>
        <w:t xml:space="preserve"> In RAN2 #120, we discussed MT-SDT initially and had the the following progress,</w:t>
      </w:r>
    </w:p>
    <w:p>
      <w:pPr>
        <w:spacing w:after="0"/>
        <w:rPr>
          <w:rFonts w:hint="default"/>
          <w:iCs/>
          <w:sz w:val="20"/>
          <w:szCs w:val="20"/>
          <w:lang w:val="en-US" w:eastAsia="zh-CN"/>
        </w:rPr>
      </w:pPr>
    </w:p>
    <w:p>
      <w:pPr>
        <w:pStyle w:val="295"/>
        <w:numPr>
          <w:ilvl w:val="0"/>
          <w:numId w:val="28"/>
        </w:numPr>
        <w:pBdr>
          <w:top w:val="single" w:color="auto" w:sz="4" w:space="1"/>
          <w:left w:val="single" w:color="auto" w:sz="4" w:space="4"/>
          <w:bottom w:val="single" w:color="auto" w:sz="4" w:space="1"/>
          <w:right w:val="single" w:color="auto" w:sz="4" w:space="4"/>
        </w:pBdr>
        <w:rPr>
          <w:rFonts w:hint="default" w:ascii="Times New Roman" w:hAnsi="Times New Roman" w:cs="Times New Roman"/>
          <w:sz w:val="20"/>
          <w:szCs w:val="20"/>
        </w:rPr>
      </w:pPr>
      <w:r>
        <w:rPr>
          <w:rFonts w:hint="default" w:ascii="Times New Roman" w:hAnsi="Times New Roman" w:cs="Times New Roman"/>
          <w:bCs/>
          <w:sz w:val="20"/>
          <w:szCs w:val="20"/>
        </w:rPr>
        <w:t xml:space="preserve">  </w:t>
      </w:r>
      <w:r>
        <w:rPr>
          <w:rFonts w:hint="default" w:ascii="Times New Roman" w:hAnsi="Times New Roman" w:cs="Times New Roman"/>
          <w:sz w:val="20"/>
          <w:szCs w:val="20"/>
        </w:rPr>
        <w:t>For RAN paging, MT-SDT indication (at least one bit) is explicitly included per UE via a paging message.  FFS if more information for MT-SDT are needed FFS what the indication will be called.  FFS signalling details</w:t>
      </w:r>
    </w:p>
    <w:p>
      <w:pPr>
        <w:pStyle w:val="295"/>
        <w:numPr>
          <w:ilvl w:val="0"/>
          <w:numId w:val="28"/>
        </w:numPr>
        <w:pBdr>
          <w:top w:val="single" w:color="auto" w:sz="4" w:space="1"/>
          <w:left w:val="single" w:color="auto" w:sz="4" w:space="4"/>
          <w:bottom w:val="single" w:color="auto" w:sz="4" w:space="1"/>
          <w:right w:val="single" w:color="auto" w:sz="4" w:space="4"/>
        </w:pBdr>
        <w:jc w:val="left"/>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 xml:space="preserve">Rel-18 MT-SDT after the MT-SDT paging trigger is detected, RA-SDT and CG SDT solutions/procedures specified in Rel-17 is re-used as a baseline.  The detailed triggers will be discussed on case by case.  FFS on resources used for access  </w:t>
      </w:r>
    </w:p>
    <w:p>
      <w:pPr>
        <w:pStyle w:val="295"/>
        <w:numPr>
          <w:ilvl w:val="0"/>
          <w:numId w:val="28"/>
        </w:numPr>
        <w:pBdr>
          <w:top w:val="single" w:color="auto" w:sz="4" w:space="1"/>
          <w:left w:val="single" w:color="auto" w:sz="4" w:space="4"/>
          <w:bottom w:val="single" w:color="auto" w:sz="4" w:space="1"/>
          <w:right w:val="single" w:color="auto" w:sz="4" w:space="4"/>
        </w:pBdr>
        <w:rPr>
          <w:rFonts w:hint="default" w:ascii="Times New Roman" w:hAnsi="Times New Roman" w:eastAsia="宋体" w:cs="Times New Roman"/>
          <w:color w:val="0000FF"/>
          <w:sz w:val="20"/>
          <w:szCs w:val="20"/>
          <w:lang w:val="en-US" w:eastAsia="zh-CN"/>
        </w:rPr>
      </w:pPr>
      <w:r>
        <w:rPr>
          <w:rFonts w:hint="default" w:ascii="Times New Roman" w:hAnsi="Times New Roman" w:cs="Times New Roman"/>
          <w:sz w:val="20"/>
          <w:szCs w:val="20"/>
        </w:rPr>
        <w:t xml:space="preserve">UE can use non-SDT random access resources for accessing the network for an MT-SDT transfer.  The UE can also use the configured grant resources and/or MO-RA resources.  </w:t>
      </w:r>
    </w:p>
    <w:p>
      <w:pPr>
        <w:pStyle w:val="295"/>
        <w:numPr>
          <w:ilvl w:val="0"/>
          <w:numId w:val="28"/>
        </w:numPr>
        <w:pBdr>
          <w:top w:val="single" w:color="auto" w:sz="4" w:space="1"/>
          <w:left w:val="single" w:color="auto" w:sz="4" w:space="4"/>
          <w:bottom w:val="single" w:color="auto" w:sz="4" w:space="1"/>
          <w:right w:val="single" w:color="auto" w:sz="4" w:space="4"/>
        </w:pBdr>
        <w:rPr>
          <w:rFonts w:hint="default" w:ascii="Times New Roman" w:hAnsi="Times New Roman" w:cs="Times New Roman"/>
          <w:sz w:val="20"/>
          <w:szCs w:val="20"/>
        </w:rPr>
      </w:pPr>
      <w:r>
        <w:rPr>
          <w:rFonts w:hint="default" w:ascii="Times New Roman" w:hAnsi="Times New Roman" w:cs="Times New Roman"/>
          <w:sz w:val="20"/>
          <w:szCs w:val="20"/>
        </w:rPr>
        <w:t xml:space="preserve">The network should be able to differentiate why the UL access was triggered, i.e. implicit or explicit indication by the UE. </w:t>
      </w:r>
    </w:p>
    <w:p>
      <w:pPr>
        <w:pStyle w:val="295"/>
        <w:numPr>
          <w:ilvl w:val="0"/>
          <w:numId w:val="28"/>
        </w:numPr>
        <w:pBdr>
          <w:top w:val="single" w:color="auto" w:sz="4" w:space="1"/>
          <w:left w:val="single" w:color="auto" w:sz="4" w:space="4"/>
          <w:bottom w:val="single" w:color="auto" w:sz="4" w:space="1"/>
          <w:right w:val="single" w:color="auto" w:sz="4" w:space="4"/>
        </w:pBdr>
        <w:rPr>
          <w:rFonts w:hint="default" w:ascii="Times New Roman" w:hAnsi="Times New Roman" w:eastAsia="宋体" w:cs="Times New Roman"/>
          <w:color w:val="0000FF"/>
          <w:sz w:val="20"/>
          <w:szCs w:val="20"/>
          <w:lang w:val="en-US" w:eastAsia="zh-CN"/>
        </w:rPr>
      </w:pPr>
      <w:r>
        <w:rPr>
          <w:rFonts w:hint="default" w:ascii="Times New Roman" w:hAnsi="Times New Roman" w:cs="Times New Roman"/>
          <w:sz w:val="20"/>
          <w:szCs w:val="20"/>
        </w:rPr>
        <w:t xml:space="preserve">MT-SDT is data that belongs to bearers that are configured for SDT.    FFS whether the configuration is MO-SDT or MT-SDT specific.  The network can only trigger MT-SDT if the data belongs to those bearers.  </w:t>
      </w:r>
    </w:p>
    <w:p>
      <w:pPr>
        <w:pStyle w:val="295"/>
        <w:numPr>
          <w:ilvl w:val="0"/>
          <w:numId w:val="28"/>
        </w:numPr>
        <w:pBdr>
          <w:top w:val="single" w:color="auto" w:sz="4" w:space="1"/>
          <w:left w:val="single" w:color="auto" w:sz="4" w:space="4"/>
          <w:bottom w:val="single" w:color="auto" w:sz="4" w:space="1"/>
          <w:right w:val="single" w:color="auto" w:sz="4" w:space="4"/>
        </w:pBdr>
        <w:rPr>
          <w:rFonts w:hint="default" w:ascii="Times New Roman" w:hAnsi="Times New Roman" w:eastAsia="宋体" w:cs="Times New Roman"/>
          <w:color w:val="0000FF"/>
          <w:sz w:val="20"/>
          <w:szCs w:val="20"/>
          <w:lang w:val="en-US" w:eastAsia="zh-CN"/>
        </w:rPr>
      </w:pPr>
      <w:r>
        <w:rPr>
          <w:rFonts w:hint="default" w:ascii="Times New Roman" w:hAnsi="Times New Roman" w:cs="Times New Roman"/>
          <w:sz w:val="20"/>
          <w:szCs w:val="20"/>
        </w:rPr>
        <w:t>It is possible for the network to configure only MT-SDT without MO-SDT RA resources and/or CG-SDT.  Subsequent UL/DL data belonging to SDT bearers while in INACTIVE is allowed like MO-SDT procedure.  FFS stage 3 details</w:t>
      </w:r>
    </w:p>
    <w:p>
      <w:pPr>
        <w:pStyle w:val="295"/>
        <w:numPr>
          <w:ilvl w:val="0"/>
          <w:numId w:val="28"/>
        </w:numPr>
        <w:pBdr>
          <w:top w:val="single" w:color="auto" w:sz="4" w:space="1"/>
          <w:left w:val="single" w:color="auto" w:sz="4" w:space="4"/>
          <w:bottom w:val="single" w:color="auto" w:sz="4" w:space="1"/>
          <w:right w:val="single" w:color="auto" w:sz="4" w:space="4"/>
        </w:pBdr>
        <w:rPr>
          <w:rFonts w:hint="default" w:ascii="Times New Roman" w:hAnsi="Times New Roman" w:cs="Times New Roman"/>
          <w:sz w:val="20"/>
          <w:szCs w:val="20"/>
        </w:rPr>
      </w:pPr>
      <w:r>
        <w:rPr>
          <w:rFonts w:hint="default" w:ascii="Times New Roman" w:hAnsi="Times New Roman" w:cs="Times New Roman"/>
          <w:sz w:val="20"/>
          <w:szCs w:val="20"/>
        </w:rPr>
        <w:t>New Resume cause in RRC resume will be introduced, one code point MT-SDT indication</w:t>
      </w:r>
    </w:p>
    <w:p>
      <w:pPr>
        <w:rPr>
          <w:rFonts w:hint="default" w:eastAsia="等线" w:cs="Arial"/>
          <w:sz w:val="20"/>
          <w:szCs w:val="20"/>
          <w:lang w:val="en-US" w:eastAsia="zh-CN"/>
        </w:rPr>
      </w:pPr>
      <w:bookmarkStart w:id="4" w:name="OLE_LINK72"/>
      <w:bookmarkStart w:id="5" w:name="OLE_LINK71"/>
      <w:r>
        <w:rPr>
          <w:rFonts w:hint="eastAsia"/>
          <w:sz w:val="20"/>
          <w:szCs w:val="20"/>
          <w:lang w:val="en-US" w:eastAsia="zh-CN"/>
        </w:rPr>
        <w:t>In this contribution, we further discuss MT-SDT procedure.</w:t>
      </w:r>
    </w:p>
    <w:p>
      <w:pPr>
        <w:pStyle w:val="2"/>
        <w:rPr>
          <w:lang w:val="en-US" w:eastAsia="zh-CN"/>
        </w:rPr>
      </w:pPr>
      <w:r>
        <w:rPr>
          <w:rFonts w:hint="eastAsia"/>
          <w:lang w:val="en-US" w:eastAsia="zh-CN"/>
        </w:rPr>
        <w:t>Discussion</w:t>
      </w:r>
    </w:p>
    <w:p>
      <w:pPr>
        <w:pStyle w:val="3"/>
        <w:bidi w:val="0"/>
        <w:rPr>
          <w:rFonts w:hint="default"/>
          <w:lang w:val="en-US" w:eastAsia="zh-CN"/>
        </w:rPr>
      </w:pPr>
      <w:r>
        <w:rPr>
          <w:rFonts w:hint="eastAsia"/>
          <w:lang w:val="en-US" w:eastAsia="zh-CN"/>
        </w:rPr>
        <w:t xml:space="preserve">MT-SDT indication in Paging </w:t>
      </w:r>
    </w:p>
    <w:p>
      <w:pPr>
        <w:rPr>
          <w:rFonts w:hint="default"/>
          <w:iCs/>
          <w:sz w:val="20"/>
          <w:szCs w:val="20"/>
          <w:lang w:val="en-US" w:eastAsia="zh-CN"/>
        </w:rPr>
      </w:pPr>
      <w:r>
        <w:rPr>
          <w:rFonts w:hint="eastAsia"/>
          <w:sz w:val="20"/>
          <w:szCs w:val="20"/>
          <w:lang w:val="en-US" w:eastAsia="zh-CN"/>
        </w:rPr>
        <w:t xml:space="preserve">The MT-SDT is intended for downlink </w:t>
      </w:r>
      <w:r>
        <w:rPr>
          <w:iCs/>
          <w:sz w:val="20"/>
          <w:szCs w:val="20"/>
        </w:rPr>
        <w:t>small and infrequent packet</w:t>
      </w:r>
      <w:r>
        <w:rPr>
          <w:rFonts w:hint="eastAsia"/>
          <w:iCs/>
          <w:sz w:val="20"/>
          <w:szCs w:val="20"/>
          <w:lang w:val="en-US" w:eastAsia="zh-CN"/>
        </w:rPr>
        <w:t xml:space="preserve"> transmission for UE in RRC inactive state. CN indicates the DL data size information to gNB, and gNB justify whether downlink data size fulfills the condition or DL data size threshold configured for MT-SDT. If the MT-SDT trigger criteria is meet in gNB, it will paging the RRC inactive UE with the paging message including MT-SDT indication. </w:t>
      </w:r>
      <w:bookmarkStart w:id="6" w:name="_Hlk26018903"/>
      <w:r>
        <w:rPr>
          <w:rFonts w:hint="eastAsia"/>
          <w:iCs/>
          <w:sz w:val="20"/>
          <w:szCs w:val="20"/>
          <w:lang w:val="en-US" w:eastAsia="zh-CN"/>
        </w:rPr>
        <w:t>The details of the MT-SDT indication in paging are still FFS.</w:t>
      </w:r>
    </w:p>
    <w:p>
      <w:pPr>
        <w:rPr>
          <w:rFonts w:hint="eastAsia"/>
          <w:iCs/>
          <w:sz w:val="20"/>
          <w:szCs w:val="20"/>
          <w:lang w:val="en-US" w:eastAsia="zh-CN"/>
        </w:rPr>
      </w:pPr>
    </w:p>
    <w:p>
      <w:pPr>
        <w:pStyle w:val="119"/>
      </w:pPr>
      <w:r>
        <w:object>
          <v:shape id="_x0000_i1025" o:spt="75" type="#_x0000_t75" style="height:153.05pt;width:397.4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pStyle w:val="126"/>
        <w:rPr>
          <w:rFonts w:hint="default" w:ascii="Times New Roman" w:hAnsi="Times New Roman" w:cs="Times New Roman" w:eastAsiaTheme="minorEastAsia"/>
          <w:b w:val="0"/>
          <w:bCs/>
          <w:sz w:val="20"/>
          <w:szCs w:val="20"/>
          <w:lang w:val="en-US" w:eastAsia="zh-CN"/>
        </w:rPr>
      </w:pPr>
      <w:r>
        <w:rPr>
          <w:rFonts w:hint="default" w:ascii="Times New Roman" w:hAnsi="Times New Roman" w:cs="Times New Roman"/>
          <w:b w:val="0"/>
          <w:bCs/>
          <w:sz w:val="20"/>
          <w:szCs w:val="20"/>
        </w:rPr>
        <w:t>Fig</w:t>
      </w:r>
      <w:r>
        <w:rPr>
          <w:rFonts w:hint="default" w:ascii="Times New Roman" w:hAnsi="Times New Roman" w:cs="Times New Roman"/>
          <w:b w:val="0"/>
          <w:bCs/>
          <w:sz w:val="20"/>
          <w:szCs w:val="20"/>
          <w:lang w:val="en-US" w:eastAsia="zh-CN"/>
        </w:rPr>
        <w:t>.1</w:t>
      </w:r>
      <w:r>
        <w:rPr>
          <w:rFonts w:hint="default" w:ascii="Times New Roman" w:hAnsi="Times New Roman" w:cs="Times New Roman"/>
          <w:b w:val="0"/>
          <w:bCs/>
          <w:sz w:val="20"/>
          <w:szCs w:val="20"/>
        </w:rPr>
        <w:t xml:space="preserve"> </w:t>
      </w:r>
      <w:r>
        <w:rPr>
          <w:rFonts w:hint="eastAsia" w:ascii="Times New Roman" w:hAnsi="Times New Roman" w:cs="Times New Roman"/>
          <w:b w:val="0"/>
          <w:bCs/>
          <w:sz w:val="20"/>
          <w:szCs w:val="20"/>
          <w:lang w:val="en-US" w:eastAsia="zh-CN"/>
        </w:rPr>
        <w:t xml:space="preserve">Random access based </w:t>
      </w:r>
      <w:r>
        <w:rPr>
          <w:rFonts w:hint="default" w:ascii="Times New Roman" w:hAnsi="Times New Roman" w:cs="Times New Roman"/>
          <w:b w:val="0"/>
          <w:bCs/>
          <w:sz w:val="20"/>
          <w:szCs w:val="20"/>
        </w:rPr>
        <w:t>MT-</w:t>
      </w:r>
      <w:r>
        <w:rPr>
          <w:rFonts w:hint="default" w:ascii="Times New Roman" w:hAnsi="Times New Roman" w:cs="Times New Roman"/>
          <w:b w:val="0"/>
          <w:bCs/>
          <w:sz w:val="20"/>
          <w:szCs w:val="20"/>
          <w:lang w:val="en-US" w:eastAsia="zh-CN"/>
        </w:rPr>
        <w:t>SD</w:t>
      </w:r>
      <w:r>
        <w:rPr>
          <w:rFonts w:hint="default" w:ascii="Times New Roman" w:hAnsi="Times New Roman" w:cs="Times New Roman"/>
          <w:b w:val="0"/>
          <w:bCs/>
          <w:sz w:val="20"/>
          <w:szCs w:val="20"/>
        </w:rPr>
        <w:t xml:space="preserve">T </w:t>
      </w:r>
      <w:r>
        <w:rPr>
          <w:rFonts w:hint="default" w:ascii="Times New Roman" w:hAnsi="Times New Roman" w:cs="Times New Roman"/>
          <w:b w:val="0"/>
          <w:bCs/>
          <w:sz w:val="20"/>
          <w:szCs w:val="20"/>
          <w:lang w:val="en-US" w:eastAsia="zh-CN"/>
        </w:rPr>
        <w:t>procedure</w:t>
      </w:r>
    </w:p>
    <w:p>
      <w:pPr>
        <w:pStyle w:val="117"/>
        <w:rPr>
          <w:sz w:val="20"/>
          <w:szCs w:val="20"/>
        </w:rPr>
      </w:pPr>
      <w:r>
        <w:rPr>
          <w:sz w:val="20"/>
          <w:szCs w:val="20"/>
        </w:rPr>
        <w:t>1.</w:t>
      </w:r>
      <w:r>
        <w:rPr>
          <w:sz w:val="20"/>
          <w:szCs w:val="20"/>
        </w:rPr>
        <w:tab/>
      </w:r>
      <w:r>
        <w:rPr>
          <w:sz w:val="20"/>
          <w:szCs w:val="20"/>
        </w:rPr>
        <w:t xml:space="preserve">Upon arrival of downlink data, the </w:t>
      </w:r>
      <w:r>
        <w:rPr>
          <w:rFonts w:hint="eastAsia"/>
          <w:sz w:val="20"/>
          <w:szCs w:val="20"/>
          <w:lang w:val="en-US" w:eastAsia="zh-CN"/>
        </w:rPr>
        <w:t xml:space="preserve">CN </w:t>
      </w:r>
      <w:r>
        <w:rPr>
          <w:sz w:val="20"/>
          <w:szCs w:val="20"/>
        </w:rPr>
        <w:t xml:space="preserve">may send the DL data </w:t>
      </w:r>
      <w:r>
        <w:rPr>
          <w:rFonts w:hint="eastAsia"/>
          <w:sz w:val="20"/>
          <w:szCs w:val="20"/>
          <w:lang w:val="en-US" w:eastAsia="zh-CN"/>
        </w:rPr>
        <w:t xml:space="preserve">and its </w:t>
      </w:r>
      <w:r>
        <w:rPr>
          <w:sz w:val="20"/>
          <w:szCs w:val="20"/>
        </w:rPr>
        <w:t xml:space="preserve">size information to the </w:t>
      </w:r>
      <w:r>
        <w:rPr>
          <w:rFonts w:hint="eastAsia"/>
          <w:sz w:val="20"/>
          <w:szCs w:val="20"/>
          <w:lang w:val="en-US" w:eastAsia="zh-CN"/>
        </w:rPr>
        <w:t>gNB</w:t>
      </w:r>
      <w:r>
        <w:rPr>
          <w:sz w:val="20"/>
          <w:szCs w:val="20"/>
        </w:rPr>
        <w:t>.</w:t>
      </w:r>
    </w:p>
    <w:p>
      <w:pPr>
        <w:pStyle w:val="117"/>
        <w:rPr>
          <w:rFonts w:hint="default" w:eastAsiaTheme="minorEastAsia"/>
          <w:sz w:val="20"/>
          <w:szCs w:val="20"/>
          <w:lang w:val="en-US" w:eastAsia="zh-CN"/>
        </w:rPr>
      </w:pPr>
      <w:r>
        <w:rPr>
          <w:rFonts w:hint="eastAsia"/>
          <w:sz w:val="20"/>
          <w:szCs w:val="20"/>
          <w:lang w:val="en-US" w:eastAsia="zh-CN"/>
        </w:rPr>
        <w:t>2</w:t>
      </w:r>
      <w:r>
        <w:rPr>
          <w:sz w:val="20"/>
          <w:szCs w:val="20"/>
        </w:rPr>
        <w:t>.</w:t>
      </w:r>
      <w:r>
        <w:rPr>
          <w:sz w:val="20"/>
          <w:szCs w:val="20"/>
        </w:rPr>
        <w:tab/>
      </w:r>
      <w:r>
        <w:rPr>
          <w:sz w:val="20"/>
          <w:szCs w:val="20"/>
        </w:rPr>
        <w:t xml:space="preserve">If the data can fit </w:t>
      </w:r>
      <w:r>
        <w:rPr>
          <w:rFonts w:hint="eastAsia"/>
          <w:sz w:val="20"/>
          <w:szCs w:val="20"/>
          <w:lang w:val="en-US" w:eastAsia="zh-CN"/>
        </w:rPr>
        <w:t>MT-SDT</w:t>
      </w:r>
      <w:r>
        <w:rPr>
          <w:sz w:val="20"/>
          <w:szCs w:val="20"/>
        </w:rPr>
        <w:t xml:space="preserve"> downlink transmission</w:t>
      </w:r>
      <w:r>
        <w:rPr>
          <w:rFonts w:hint="eastAsia"/>
          <w:sz w:val="20"/>
          <w:szCs w:val="20"/>
          <w:lang w:val="en-US" w:eastAsia="zh-CN"/>
        </w:rPr>
        <w:t>, and the UE capability includes MT-SDT,</w:t>
      </w:r>
    </w:p>
    <w:p>
      <w:pPr>
        <w:pStyle w:val="117"/>
        <w:rPr>
          <w:sz w:val="20"/>
          <w:szCs w:val="20"/>
        </w:rPr>
      </w:pPr>
      <w:r>
        <w:rPr>
          <w:sz w:val="20"/>
          <w:szCs w:val="20"/>
        </w:rPr>
        <w:t xml:space="preserve">the </w:t>
      </w:r>
      <w:r>
        <w:rPr>
          <w:rFonts w:hint="eastAsia"/>
          <w:sz w:val="20"/>
          <w:szCs w:val="20"/>
          <w:lang w:val="en-US" w:eastAsia="zh-CN"/>
        </w:rPr>
        <w:t>g</w:t>
      </w:r>
      <w:r>
        <w:rPr>
          <w:sz w:val="20"/>
          <w:szCs w:val="20"/>
        </w:rPr>
        <w:t xml:space="preserve">NB includes </w:t>
      </w:r>
      <w:r>
        <w:rPr>
          <w:rFonts w:hint="eastAsia"/>
          <w:i/>
          <w:sz w:val="20"/>
          <w:szCs w:val="20"/>
          <w:lang w:val="en-US" w:eastAsia="zh-CN"/>
        </w:rPr>
        <w:t>MT</w:t>
      </w:r>
      <w:r>
        <w:rPr>
          <w:i/>
          <w:sz w:val="20"/>
          <w:szCs w:val="20"/>
        </w:rPr>
        <w:t>-</w:t>
      </w:r>
      <w:r>
        <w:rPr>
          <w:rFonts w:hint="eastAsia"/>
          <w:i/>
          <w:sz w:val="20"/>
          <w:szCs w:val="20"/>
          <w:lang w:val="en-US" w:eastAsia="zh-CN"/>
        </w:rPr>
        <w:t>S</w:t>
      </w:r>
      <w:r>
        <w:rPr>
          <w:i/>
          <w:sz w:val="20"/>
          <w:szCs w:val="20"/>
        </w:rPr>
        <w:t>DT</w:t>
      </w:r>
      <w:r>
        <w:rPr>
          <w:sz w:val="20"/>
          <w:szCs w:val="20"/>
        </w:rPr>
        <w:t xml:space="preserve"> indication in the </w:t>
      </w:r>
      <w:r>
        <w:rPr>
          <w:i/>
          <w:sz w:val="20"/>
          <w:szCs w:val="20"/>
        </w:rPr>
        <w:t>Paging</w:t>
      </w:r>
      <w:r>
        <w:rPr>
          <w:sz w:val="20"/>
          <w:szCs w:val="20"/>
        </w:rPr>
        <w:t xml:space="preserve"> message for the UE.</w:t>
      </w:r>
    </w:p>
    <w:p>
      <w:pPr>
        <w:pStyle w:val="117"/>
        <w:rPr>
          <w:rFonts w:hint="eastAsia"/>
          <w:sz w:val="20"/>
          <w:szCs w:val="20"/>
          <w:lang w:val="en-US" w:eastAsia="zh-CN"/>
        </w:rPr>
      </w:pPr>
      <w:r>
        <w:rPr>
          <w:rFonts w:hint="eastAsia"/>
          <w:sz w:val="20"/>
          <w:szCs w:val="20"/>
          <w:lang w:val="en-US" w:eastAsia="zh-CN"/>
        </w:rPr>
        <w:t>3</w:t>
      </w:r>
      <w:r>
        <w:rPr>
          <w:sz w:val="20"/>
          <w:szCs w:val="20"/>
        </w:rPr>
        <w:t>.</w:t>
      </w:r>
      <w:r>
        <w:rPr>
          <w:rFonts w:hint="eastAsia"/>
          <w:sz w:val="20"/>
          <w:szCs w:val="20"/>
          <w:lang w:val="en-US" w:eastAsia="zh-CN"/>
        </w:rPr>
        <w:t xml:space="preserve"> </w:t>
      </w:r>
      <w:r>
        <w:rPr>
          <w:sz w:val="20"/>
          <w:szCs w:val="20"/>
        </w:rPr>
        <w:t>The UE initiates the M</w:t>
      </w:r>
      <w:r>
        <w:rPr>
          <w:rFonts w:hint="eastAsia"/>
          <w:sz w:val="20"/>
          <w:szCs w:val="20"/>
          <w:lang w:val="en-US" w:eastAsia="zh-CN"/>
        </w:rPr>
        <w:t>T</w:t>
      </w:r>
      <w:r>
        <w:rPr>
          <w:sz w:val="20"/>
          <w:szCs w:val="20"/>
        </w:rPr>
        <w:t>-</w:t>
      </w:r>
      <w:r>
        <w:rPr>
          <w:rFonts w:hint="eastAsia"/>
          <w:sz w:val="20"/>
          <w:szCs w:val="20"/>
          <w:lang w:val="en-US" w:eastAsia="zh-CN"/>
        </w:rPr>
        <w:t>S</w:t>
      </w:r>
      <w:r>
        <w:rPr>
          <w:sz w:val="20"/>
          <w:szCs w:val="20"/>
        </w:rPr>
        <w:t xml:space="preserve">DT </w:t>
      </w:r>
      <w:r>
        <w:rPr>
          <w:rFonts w:hint="eastAsia"/>
          <w:sz w:val="20"/>
          <w:szCs w:val="20"/>
          <w:lang w:val="en-US" w:eastAsia="zh-CN"/>
        </w:rPr>
        <w:t xml:space="preserve">triggered random access </w:t>
      </w:r>
      <w:r>
        <w:rPr>
          <w:sz w:val="20"/>
          <w:szCs w:val="20"/>
        </w:rPr>
        <w:t>procedure</w:t>
      </w:r>
      <w:r>
        <w:rPr>
          <w:rFonts w:hint="eastAsia"/>
          <w:sz w:val="20"/>
          <w:szCs w:val="20"/>
          <w:lang w:val="en-US" w:eastAsia="zh-CN"/>
        </w:rPr>
        <w:t>.</w:t>
      </w:r>
    </w:p>
    <w:p>
      <w:pPr>
        <w:pStyle w:val="117"/>
        <w:rPr>
          <w:rFonts w:hint="eastAsia"/>
          <w:lang w:val="en-US" w:eastAsia="zh-CN"/>
        </w:rPr>
      </w:pPr>
      <w:r>
        <w:rPr>
          <w:rFonts w:hint="eastAsia"/>
          <w:sz w:val="20"/>
          <w:szCs w:val="20"/>
          <w:lang w:val="en-US" w:eastAsia="zh-CN"/>
        </w:rPr>
        <w:t>4. Downlink data transmission.</w:t>
      </w:r>
      <w:r>
        <w:rPr>
          <w:rFonts w:hint="eastAsia"/>
          <w:lang w:val="en-US" w:eastAsia="zh-CN"/>
        </w:rPr>
        <w:t xml:space="preserve">  </w:t>
      </w:r>
    </w:p>
    <w:p>
      <w:pPr>
        <w:pStyle w:val="117"/>
        <w:ind w:left="0" w:leftChars="0" w:firstLine="0" w:firstLineChars="0"/>
        <w:rPr>
          <w:rFonts w:hint="default"/>
          <w:b w:val="0"/>
          <w:bCs w:val="0"/>
          <w:sz w:val="20"/>
          <w:szCs w:val="20"/>
          <w:lang w:val="en-US" w:eastAsia="zh-CN"/>
        </w:rPr>
      </w:pPr>
      <w:r>
        <w:rPr>
          <w:rFonts w:hint="eastAsia"/>
          <w:b w:val="0"/>
          <w:bCs w:val="0"/>
          <w:sz w:val="20"/>
          <w:szCs w:val="20"/>
          <w:lang w:val="en-US" w:eastAsia="zh-CN"/>
        </w:rPr>
        <w:t xml:space="preserve">Besides RA based MT-SDT solution, SPS based solution should be considered for MT-SDT, similar as CG based MO-SDT in R17. As illustrated in Fig.2, if the UE configured with SPS-SDT resource, it can star DL data receiving without triggering random access procedure to lower the data transmission latency. The SPS-SDT resource is configured in RRC release message. </w:t>
      </w:r>
    </w:p>
    <w:p>
      <w:pPr>
        <w:pStyle w:val="117"/>
        <w:ind w:left="0" w:leftChars="0" w:firstLine="0" w:firstLineChars="0"/>
        <w:rPr>
          <w:rFonts w:hint="default"/>
          <w:b w:val="0"/>
          <w:bCs w:val="0"/>
          <w:sz w:val="20"/>
          <w:szCs w:val="20"/>
          <w:lang w:val="en-US" w:eastAsia="zh-CN"/>
        </w:rPr>
      </w:pPr>
      <w:r>
        <w:rPr>
          <w:rFonts w:hint="default"/>
          <w:b w:val="0"/>
          <w:bCs w:val="0"/>
          <w:sz w:val="20"/>
          <w:szCs w:val="20"/>
          <w:lang w:val="en-US" w:eastAsia="zh-CN"/>
        </w:rPr>
        <w:object>
          <v:shape id="_x0000_i1026" o:spt="75" type="#_x0000_t75" style="height:121.85pt;width:397.9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pStyle w:val="126"/>
        <w:rPr>
          <w:rFonts w:hint="default"/>
          <w:b w:val="0"/>
          <w:bCs w:val="0"/>
          <w:sz w:val="20"/>
          <w:szCs w:val="20"/>
          <w:lang w:val="en-US" w:eastAsia="zh-CN"/>
        </w:rPr>
      </w:pPr>
      <w:r>
        <w:rPr>
          <w:rFonts w:hint="default" w:ascii="Times New Roman" w:hAnsi="Times New Roman" w:cs="Times New Roman"/>
          <w:b w:val="0"/>
          <w:bCs/>
          <w:sz w:val="20"/>
          <w:szCs w:val="20"/>
        </w:rPr>
        <w:t>Fig</w:t>
      </w:r>
      <w:r>
        <w:rPr>
          <w:rFonts w:hint="default" w:ascii="Times New Roman" w:hAnsi="Times New Roman" w:cs="Times New Roman"/>
          <w:b w:val="0"/>
          <w:bCs/>
          <w:sz w:val="20"/>
          <w:szCs w:val="20"/>
          <w:lang w:val="en-US" w:eastAsia="zh-CN"/>
        </w:rPr>
        <w:t>.</w:t>
      </w:r>
      <w:r>
        <w:rPr>
          <w:rFonts w:hint="eastAsia" w:ascii="Times New Roman" w:hAnsi="Times New Roman" w:cs="Times New Roman"/>
          <w:b w:val="0"/>
          <w:bCs/>
          <w:sz w:val="20"/>
          <w:szCs w:val="20"/>
          <w:lang w:val="en-US" w:eastAsia="zh-CN"/>
        </w:rPr>
        <w:t>2</w:t>
      </w:r>
      <w:r>
        <w:rPr>
          <w:rFonts w:hint="default" w:ascii="Times New Roman" w:hAnsi="Times New Roman" w:cs="Times New Roman"/>
          <w:b w:val="0"/>
          <w:bCs/>
          <w:sz w:val="20"/>
          <w:szCs w:val="20"/>
        </w:rPr>
        <w:t xml:space="preserve"> </w:t>
      </w:r>
      <w:r>
        <w:rPr>
          <w:rFonts w:hint="eastAsia" w:ascii="Times New Roman" w:hAnsi="Times New Roman" w:cs="Times New Roman"/>
          <w:b w:val="0"/>
          <w:bCs/>
          <w:sz w:val="20"/>
          <w:szCs w:val="20"/>
          <w:lang w:val="en-US" w:eastAsia="zh-CN"/>
        </w:rPr>
        <w:t xml:space="preserve">SPS based </w:t>
      </w:r>
      <w:r>
        <w:rPr>
          <w:rFonts w:hint="default" w:ascii="Times New Roman" w:hAnsi="Times New Roman" w:cs="Times New Roman"/>
          <w:b w:val="0"/>
          <w:bCs/>
          <w:sz w:val="20"/>
          <w:szCs w:val="20"/>
        </w:rPr>
        <w:t>MT-</w:t>
      </w:r>
      <w:r>
        <w:rPr>
          <w:rFonts w:hint="default" w:ascii="Times New Roman" w:hAnsi="Times New Roman" w:cs="Times New Roman"/>
          <w:b w:val="0"/>
          <w:bCs/>
          <w:sz w:val="20"/>
          <w:szCs w:val="20"/>
          <w:lang w:val="en-US" w:eastAsia="zh-CN"/>
        </w:rPr>
        <w:t>SD</w:t>
      </w:r>
      <w:r>
        <w:rPr>
          <w:rFonts w:hint="default" w:ascii="Times New Roman" w:hAnsi="Times New Roman" w:cs="Times New Roman"/>
          <w:b w:val="0"/>
          <w:bCs/>
          <w:sz w:val="20"/>
          <w:szCs w:val="20"/>
        </w:rPr>
        <w:t xml:space="preserve">T </w:t>
      </w:r>
      <w:r>
        <w:rPr>
          <w:rFonts w:hint="default" w:ascii="Times New Roman" w:hAnsi="Times New Roman" w:cs="Times New Roman"/>
          <w:b w:val="0"/>
          <w:bCs/>
          <w:sz w:val="20"/>
          <w:szCs w:val="20"/>
          <w:lang w:val="en-US" w:eastAsia="zh-CN"/>
        </w:rPr>
        <w:t>procedure</w:t>
      </w:r>
    </w:p>
    <w:p>
      <w:pPr>
        <w:pStyle w:val="117"/>
        <w:rPr>
          <w:sz w:val="20"/>
          <w:szCs w:val="20"/>
        </w:rPr>
      </w:pPr>
      <w:r>
        <w:rPr>
          <w:sz w:val="20"/>
          <w:szCs w:val="20"/>
        </w:rPr>
        <w:t>1.</w:t>
      </w:r>
      <w:r>
        <w:rPr>
          <w:sz w:val="20"/>
          <w:szCs w:val="20"/>
        </w:rPr>
        <w:tab/>
      </w:r>
      <w:r>
        <w:rPr>
          <w:sz w:val="20"/>
          <w:szCs w:val="20"/>
        </w:rPr>
        <w:t xml:space="preserve">Upon arrival of downlink data, the </w:t>
      </w:r>
      <w:r>
        <w:rPr>
          <w:rFonts w:hint="eastAsia"/>
          <w:sz w:val="20"/>
          <w:szCs w:val="20"/>
          <w:lang w:val="en-US" w:eastAsia="zh-CN"/>
        </w:rPr>
        <w:t xml:space="preserve">CN </w:t>
      </w:r>
      <w:r>
        <w:rPr>
          <w:sz w:val="20"/>
          <w:szCs w:val="20"/>
        </w:rPr>
        <w:t xml:space="preserve">may send the DL data </w:t>
      </w:r>
      <w:r>
        <w:rPr>
          <w:rFonts w:hint="eastAsia"/>
          <w:sz w:val="20"/>
          <w:szCs w:val="20"/>
          <w:lang w:val="en-US" w:eastAsia="zh-CN"/>
        </w:rPr>
        <w:t xml:space="preserve">and its </w:t>
      </w:r>
      <w:r>
        <w:rPr>
          <w:sz w:val="20"/>
          <w:szCs w:val="20"/>
        </w:rPr>
        <w:t xml:space="preserve">size information to the </w:t>
      </w:r>
      <w:r>
        <w:rPr>
          <w:rFonts w:hint="eastAsia"/>
          <w:sz w:val="20"/>
          <w:szCs w:val="20"/>
          <w:lang w:val="en-US" w:eastAsia="zh-CN"/>
        </w:rPr>
        <w:t>gNB</w:t>
      </w:r>
      <w:r>
        <w:rPr>
          <w:sz w:val="20"/>
          <w:szCs w:val="20"/>
        </w:rPr>
        <w:t>.</w:t>
      </w:r>
    </w:p>
    <w:p>
      <w:pPr>
        <w:pStyle w:val="117"/>
        <w:rPr>
          <w:rFonts w:hint="default" w:eastAsiaTheme="minorEastAsia"/>
          <w:sz w:val="20"/>
          <w:szCs w:val="20"/>
          <w:lang w:val="en-US" w:eastAsia="zh-CN"/>
        </w:rPr>
      </w:pPr>
      <w:r>
        <w:rPr>
          <w:rFonts w:hint="eastAsia"/>
          <w:sz w:val="20"/>
          <w:szCs w:val="20"/>
          <w:lang w:val="en-US" w:eastAsia="zh-CN"/>
        </w:rPr>
        <w:t>2</w:t>
      </w:r>
      <w:r>
        <w:rPr>
          <w:sz w:val="20"/>
          <w:szCs w:val="20"/>
        </w:rPr>
        <w:t>.</w:t>
      </w:r>
      <w:r>
        <w:rPr>
          <w:sz w:val="20"/>
          <w:szCs w:val="20"/>
        </w:rPr>
        <w:tab/>
      </w:r>
      <w:r>
        <w:rPr>
          <w:sz w:val="20"/>
          <w:szCs w:val="20"/>
        </w:rPr>
        <w:t xml:space="preserve">If the data can fit </w:t>
      </w:r>
      <w:r>
        <w:rPr>
          <w:rFonts w:hint="eastAsia"/>
          <w:sz w:val="20"/>
          <w:szCs w:val="20"/>
          <w:lang w:val="en-US" w:eastAsia="zh-CN"/>
        </w:rPr>
        <w:t>MT-SDT</w:t>
      </w:r>
      <w:r>
        <w:rPr>
          <w:sz w:val="20"/>
          <w:szCs w:val="20"/>
        </w:rPr>
        <w:t xml:space="preserve"> downlink transmission</w:t>
      </w:r>
      <w:r>
        <w:rPr>
          <w:rFonts w:hint="eastAsia"/>
          <w:sz w:val="20"/>
          <w:szCs w:val="20"/>
          <w:lang w:val="en-US" w:eastAsia="zh-CN"/>
        </w:rPr>
        <w:t>, and the UE capability includes MT-SDT,</w:t>
      </w:r>
    </w:p>
    <w:p>
      <w:pPr>
        <w:pStyle w:val="117"/>
        <w:rPr>
          <w:sz w:val="20"/>
          <w:szCs w:val="20"/>
        </w:rPr>
      </w:pPr>
      <w:r>
        <w:rPr>
          <w:sz w:val="20"/>
          <w:szCs w:val="20"/>
        </w:rPr>
        <w:t xml:space="preserve">the </w:t>
      </w:r>
      <w:r>
        <w:rPr>
          <w:rFonts w:hint="eastAsia"/>
          <w:sz w:val="20"/>
          <w:szCs w:val="20"/>
          <w:lang w:val="en-US" w:eastAsia="zh-CN"/>
        </w:rPr>
        <w:t>g</w:t>
      </w:r>
      <w:r>
        <w:rPr>
          <w:sz w:val="20"/>
          <w:szCs w:val="20"/>
        </w:rPr>
        <w:t xml:space="preserve">NB includes </w:t>
      </w:r>
      <w:r>
        <w:rPr>
          <w:rFonts w:hint="eastAsia"/>
          <w:i/>
          <w:sz w:val="20"/>
          <w:szCs w:val="20"/>
          <w:lang w:val="en-US" w:eastAsia="zh-CN"/>
        </w:rPr>
        <w:t>MT</w:t>
      </w:r>
      <w:r>
        <w:rPr>
          <w:i/>
          <w:sz w:val="20"/>
          <w:szCs w:val="20"/>
        </w:rPr>
        <w:t>-</w:t>
      </w:r>
      <w:r>
        <w:rPr>
          <w:rFonts w:hint="eastAsia"/>
          <w:i/>
          <w:sz w:val="20"/>
          <w:szCs w:val="20"/>
          <w:lang w:val="en-US" w:eastAsia="zh-CN"/>
        </w:rPr>
        <w:t>S</w:t>
      </w:r>
      <w:r>
        <w:rPr>
          <w:i/>
          <w:sz w:val="20"/>
          <w:szCs w:val="20"/>
        </w:rPr>
        <w:t>DT</w:t>
      </w:r>
      <w:r>
        <w:rPr>
          <w:sz w:val="20"/>
          <w:szCs w:val="20"/>
        </w:rPr>
        <w:t xml:space="preserve"> indication in the </w:t>
      </w:r>
      <w:r>
        <w:rPr>
          <w:i/>
          <w:sz w:val="20"/>
          <w:szCs w:val="20"/>
        </w:rPr>
        <w:t>Paging</w:t>
      </w:r>
      <w:r>
        <w:rPr>
          <w:sz w:val="20"/>
          <w:szCs w:val="20"/>
        </w:rPr>
        <w:t xml:space="preserve"> message for the UE.</w:t>
      </w:r>
    </w:p>
    <w:p>
      <w:pPr>
        <w:pStyle w:val="117"/>
        <w:rPr>
          <w:rFonts w:hint="default"/>
          <w:sz w:val="20"/>
          <w:szCs w:val="20"/>
          <w:lang w:val="en-US" w:eastAsia="zh-CN"/>
        </w:rPr>
      </w:pPr>
      <w:r>
        <w:rPr>
          <w:rFonts w:hint="eastAsia"/>
          <w:sz w:val="20"/>
          <w:szCs w:val="20"/>
          <w:lang w:val="en-US" w:eastAsia="zh-CN"/>
        </w:rPr>
        <w:t>3. Downlink data transmission, if UE is configured with SPS-SDT resource.</w:t>
      </w:r>
    </w:p>
    <w:bookmarkEnd w:id="6"/>
    <w:p>
      <w:pPr>
        <w:jc w:val="both"/>
        <w:rPr>
          <w:rFonts w:hint="eastAsia"/>
          <w:b/>
          <w:bCs/>
          <w:sz w:val="20"/>
          <w:szCs w:val="20"/>
          <w:lang w:val="en-US" w:eastAsia="zh-CN"/>
        </w:rPr>
      </w:pPr>
      <w:r>
        <w:rPr>
          <w:rFonts w:hint="eastAsia"/>
          <w:b/>
          <w:bCs/>
          <w:sz w:val="20"/>
          <w:szCs w:val="20"/>
          <w:lang w:val="en-US" w:eastAsia="zh-CN"/>
        </w:rPr>
        <w:t>Proposal 1：Ask RAN2 to consider whether SPS based MT-SDT is supported.</w:t>
      </w:r>
    </w:p>
    <w:p>
      <w:pPr>
        <w:jc w:val="both"/>
        <w:rPr>
          <w:rFonts w:hint="eastAsia"/>
          <w:b w:val="0"/>
          <w:bCs w:val="0"/>
          <w:sz w:val="20"/>
          <w:szCs w:val="20"/>
          <w:lang w:val="en-US" w:eastAsia="zh-CN"/>
        </w:rPr>
      </w:pPr>
      <w:r>
        <w:rPr>
          <w:rFonts w:hint="eastAsia"/>
          <w:b w:val="0"/>
          <w:bCs w:val="0"/>
          <w:sz w:val="20"/>
          <w:szCs w:val="20"/>
          <w:lang w:val="en-US" w:eastAsia="zh-CN"/>
        </w:rPr>
        <w:t xml:space="preserve">If RA based MT-SDT and SPS based MT-SDT are both supported, how to select the MT-SDT scheme should be taken into account by RAN2. One possible solution is that gNB decides the DL transmission scheme considering the data size or periodicity and indicates that decision to UE, which may impacts on the details of MT-SDT indication in paging. </w:t>
      </w:r>
      <w:bookmarkStart w:id="7" w:name="OLE_LINK1"/>
    </w:p>
    <w:p>
      <w:pPr>
        <w:jc w:val="both"/>
        <w:rPr>
          <w:rFonts w:hint="default"/>
          <w:b/>
          <w:bCs/>
          <w:sz w:val="20"/>
          <w:szCs w:val="20"/>
          <w:lang w:val="en-US" w:eastAsia="zh-CN"/>
        </w:rPr>
      </w:pPr>
      <w:r>
        <w:rPr>
          <w:rFonts w:hint="eastAsia"/>
          <w:b/>
          <w:bCs/>
          <w:sz w:val="20"/>
          <w:szCs w:val="20"/>
          <w:lang w:val="en-US" w:eastAsia="zh-CN"/>
        </w:rPr>
        <w:t xml:space="preserve">Proposal 2: DL transmission scheme information should be contained in MT-SDT indication, if more than one MT-SDT type are supported. </w:t>
      </w:r>
    </w:p>
    <w:bookmarkEnd w:id="7"/>
    <w:p>
      <w:pPr>
        <w:pStyle w:val="3"/>
        <w:bidi w:val="0"/>
        <w:rPr>
          <w:rFonts w:hint="default"/>
          <w:lang w:val="en-US" w:eastAsia="zh-CN"/>
        </w:rPr>
      </w:pPr>
      <w:bookmarkStart w:id="8" w:name="_GoBack"/>
      <w:bookmarkEnd w:id="8"/>
      <w:r>
        <w:rPr>
          <w:rFonts w:hint="eastAsia"/>
          <w:lang w:val="en-US" w:eastAsia="zh-CN"/>
        </w:rPr>
        <w:t>Subsequent DL data transmission</w:t>
      </w:r>
    </w:p>
    <w:p>
      <w:pPr>
        <w:jc w:val="both"/>
        <w:rPr>
          <w:rFonts w:hint="eastAsia"/>
          <w:sz w:val="20"/>
          <w:szCs w:val="20"/>
          <w:lang w:val="en-US" w:eastAsia="zh-CN"/>
        </w:rPr>
      </w:pPr>
      <w:r>
        <w:rPr>
          <w:rFonts w:hint="eastAsia"/>
          <w:sz w:val="20"/>
          <w:szCs w:val="20"/>
          <w:lang w:val="en-US" w:eastAsia="zh-CN"/>
        </w:rPr>
        <w:t>As we discussed in last meeting, for MT-SDT in R18, subsequent DL data transmission in RRC inactive state is supported. gNB can indicates the subsequent data information in MT-SDT indication, or indicates in DL as the first DL data transmission, e.g. DCI. Different from UL SDT, where UE reports subsequent data information to gNB to inform the buffer information and try to apply more UL grant, and UE may resume to RRC connected state if RRC resume message is received from gNB, otherwise, it continues UL data transmission in RRC inactive. For MT-SDT, gNB should also indicate the subsequent data information to UE, if gNB decides to continue downlink data transmission to UE RRC inactive state, in case of UE stop monitoring data after the initial DL data transmission; gNB can resume the UE to RRC connected state with RRC resume message. The MT-SDT UE will stop monitoring downlink data after the first DL data transmission unless it receives subsequent data indicator.</w:t>
      </w:r>
    </w:p>
    <w:p>
      <w:pPr>
        <w:rPr>
          <w:rFonts w:hint="eastAsia"/>
          <w:b/>
          <w:bCs/>
          <w:sz w:val="20"/>
          <w:szCs w:val="20"/>
          <w:lang w:val="en-US" w:eastAsia="zh-CN"/>
        </w:rPr>
      </w:pPr>
      <w:r>
        <w:rPr>
          <w:rFonts w:hint="eastAsia"/>
          <w:b/>
          <w:bCs/>
          <w:sz w:val="20"/>
          <w:szCs w:val="20"/>
          <w:lang w:val="en-US" w:eastAsia="zh-CN"/>
        </w:rPr>
        <w:t>proposal 5: gNB should indicate the subsequent DL data information to UE, if gNB decides to continue downlink data transmission to UE in RRC inactive state.</w:t>
      </w:r>
    </w:p>
    <w:p>
      <w:pPr>
        <w:jc w:val="both"/>
        <w:rPr>
          <w:rFonts w:hint="default"/>
          <w:b/>
          <w:bCs/>
          <w:sz w:val="20"/>
          <w:szCs w:val="20"/>
          <w:lang w:val="en-US" w:eastAsia="zh-CN"/>
        </w:rPr>
      </w:pPr>
      <w:r>
        <w:rPr>
          <w:rFonts w:hint="eastAsia"/>
          <w:b/>
          <w:bCs/>
          <w:sz w:val="20"/>
          <w:szCs w:val="20"/>
          <w:lang w:val="en-US" w:eastAsia="zh-CN"/>
        </w:rPr>
        <w:t>Proposal 6: Subsequent data indicator can be contained in MT-SDT indication in paging, if needed.</w:t>
      </w:r>
    </w:p>
    <w:p>
      <w:pPr>
        <w:rPr>
          <w:rFonts w:hint="eastAsia"/>
          <w:b/>
          <w:bCs/>
          <w:sz w:val="20"/>
          <w:szCs w:val="20"/>
          <w:lang w:val="en-US" w:eastAsia="zh-CN"/>
        </w:rPr>
      </w:pPr>
      <w:r>
        <w:rPr>
          <w:rFonts w:hint="eastAsia"/>
          <w:b/>
          <w:bCs/>
          <w:sz w:val="20"/>
          <w:szCs w:val="20"/>
          <w:lang w:val="en-US" w:eastAsia="zh-CN"/>
        </w:rPr>
        <w:t>Proposal 7: The MT-SDT UE will stop monitoring downlink data unless it receives subsequent data indicator.</w:t>
      </w:r>
    </w:p>
    <w:p>
      <w:pPr>
        <w:pStyle w:val="3"/>
        <w:bidi w:val="0"/>
        <w:rPr>
          <w:rFonts w:hint="default"/>
          <w:lang w:val="en-US" w:eastAsia="zh-CN"/>
        </w:rPr>
      </w:pPr>
      <w:r>
        <w:rPr>
          <w:rFonts w:hint="eastAsia"/>
          <w:lang w:val="en-US" w:eastAsia="zh-CN"/>
        </w:rPr>
        <w:t>Subsequent UL data transmission</w:t>
      </w:r>
    </w:p>
    <w:p>
      <w:pPr>
        <w:rPr>
          <w:rStyle w:val="80"/>
          <w:rFonts w:hint="eastAsia"/>
          <w:i w:val="0"/>
          <w:iCs w:val="0"/>
          <w:sz w:val="20"/>
          <w:szCs w:val="20"/>
          <w:lang w:val="en-US" w:eastAsia="zh-CN"/>
        </w:rPr>
      </w:pPr>
      <w:r>
        <w:rPr>
          <w:rFonts w:hint="eastAsia"/>
          <w:b w:val="0"/>
          <w:bCs w:val="0"/>
          <w:sz w:val="20"/>
          <w:szCs w:val="20"/>
          <w:lang w:val="en-US" w:eastAsia="zh-CN"/>
        </w:rPr>
        <w:t xml:space="preserve">The case that </w:t>
      </w:r>
      <w:r>
        <w:rPr>
          <w:rStyle w:val="80"/>
          <w:rFonts w:hint="eastAsia"/>
          <w:b w:val="0"/>
          <w:bCs w:val="0"/>
          <w:i w:val="0"/>
          <w:iCs w:val="0"/>
          <w:sz w:val="20"/>
          <w:szCs w:val="20"/>
          <w:lang w:val="en-US" w:eastAsia="zh-CN"/>
        </w:rPr>
        <w:t>UL data ar</w:t>
      </w:r>
      <w:r>
        <w:rPr>
          <w:rStyle w:val="80"/>
          <w:rFonts w:hint="eastAsia"/>
          <w:i w:val="0"/>
          <w:iCs w:val="0"/>
          <w:sz w:val="20"/>
          <w:szCs w:val="20"/>
          <w:lang w:val="en-US" w:eastAsia="zh-CN"/>
        </w:rPr>
        <w:t xml:space="preserve">riving as </w:t>
      </w:r>
      <w:r>
        <w:rPr>
          <w:rStyle w:val="80"/>
          <w:rFonts w:ascii="Times New Roman" w:hAnsi="Times New Roman"/>
          <w:i w:val="0"/>
          <w:iCs w:val="0"/>
          <w:sz w:val="20"/>
          <w:szCs w:val="20"/>
        </w:rPr>
        <w:t>MT-SDT procedure for initial DL data reception</w:t>
      </w:r>
      <w:r>
        <w:rPr>
          <w:rStyle w:val="80"/>
          <w:rFonts w:hint="eastAsia"/>
          <w:i w:val="0"/>
          <w:iCs w:val="0"/>
          <w:sz w:val="20"/>
          <w:szCs w:val="20"/>
          <w:lang w:val="en-US" w:eastAsia="zh-CN"/>
        </w:rPr>
        <w:t xml:space="preserve"> is also included in the WID. For that case, if SPS-MT-SDT and CG-SDT is configured and operated, the downlink and uplink procedure can be handled as separated procedure, no matter whether there are subsequent DL and UL data or not. It is a little complexity that if the MT-SDT is RA based solution as in Fig.1, and the UE can perform UL transmission on CG-SDT resource, or conversely, if the SPS-MT-SDT is used for DL data transmission as in Fig.2, and the UE select RA-SDT scheme for UL data transmission. The last combination is RA based solution for both downlink and uplink. Further discussion is need to how to consider the DL and UL SDT transmission comprehensively.</w:t>
      </w:r>
    </w:p>
    <w:p>
      <w:pPr>
        <w:rPr>
          <w:rStyle w:val="80"/>
          <w:rFonts w:hint="default"/>
          <w:b/>
          <w:bCs/>
          <w:i w:val="0"/>
          <w:iCs w:val="0"/>
          <w:sz w:val="20"/>
          <w:szCs w:val="20"/>
          <w:lang w:val="en-US" w:eastAsia="zh-CN"/>
        </w:rPr>
      </w:pPr>
      <w:r>
        <w:rPr>
          <w:rStyle w:val="80"/>
          <w:rFonts w:hint="eastAsia"/>
          <w:b/>
          <w:bCs/>
          <w:i w:val="0"/>
          <w:iCs w:val="0"/>
          <w:sz w:val="20"/>
          <w:szCs w:val="20"/>
          <w:lang w:val="en-US" w:eastAsia="zh-CN"/>
        </w:rPr>
        <w:t>Proposal 8: Ask RAN2 to consider the DL and UL SDT transmission comprehensively.</w:t>
      </w:r>
    </w:p>
    <w:p>
      <w:pPr>
        <w:rPr>
          <w:rFonts w:hint="default"/>
          <w:lang w:val="en-US" w:eastAsia="zh-CN"/>
        </w:rPr>
      </w:pPr>
      <w:r>
        <w:rPr>
          <w:rStyle w:val="80"/>
          <w:rFonts w:hint="eastAsia"/>
          <w:b/>
          <w:bCs/>
          <w:i w:val="0"/>
          <w:iCs w:val="0"/>
          <w:sz w:val="20"/>
          <w:szCs w:val="20"/>
          <w:lang w:val="en-US" w:eastAsia="zh-CN"/>
        </w:rPr>
        <w:t xml:space="preserve">Proposal 9: If SPS-MT-SDT and CG-SDT is selected and operated, the downlink and uplink procedure can be handled as separated procedure, no matter whether there are subsequent DL and UL data or not. </w:t>
      </w:r>
    </w:p>
    <w:bookmarkEnd w:id="4"/>
    <w:bookmarkEnd w:id="5"/>
    <w:p>
      <w:pPr>
        <w:pStyle w:val="2"/>
        <w:bidi w:val="0"/>
      </w:pPr>
      <w:r>
        <w:t>Conclusions</w:t>
      </w:r>
    </w:p>
    <w:p>
      <w:pPr>
        <w:rPr>
          <w:rFonts w:hint="eastAsia"/>
          <w:sz w:val="20"/>
          <w:szCs w:val="20"/>
        </w:rPr>
      </w:pPr>
      <w:r>
        <w:rPr>
          <w:rFonts w:hint="eastAsia"/>
          <w:sz w:val="20"/>
          <w:szCs w:val="20"/>
        </w:rPr>
        <w:t xml:space="preserve">According the above discussion we have following </w:t>
      </w:r>
      <w:r>
        <w:rPr>
          <w:rFonts w:hint="eastAsia"/>
          <w:sz w:val="20"/>
          <w:szCs w:val="20"/>
          <w:lang w:val="en-US" w:eastAsia="zh-CN"/>
        </w:rPr>
        <w:t xml:space="preserve">observations and </w:t>
      </w:r>
      <w:r>
        <w:rPr>
          <w:rFonts w:hint="eastAsia"/>
          <w:sz w:val="20"/>
          <w:szCs w:val="20"/>
        </w:rPr>
        <w:t xml:space="preserve">proposals: </w:t>
      </w:r>
    </w:p>
    <w:p>
      <w:pPr>
        <w:pStyle w:val="117"/>
        <w:ind w:left="0" w:leftChars="0" w:firstLine="0" w:firstLineChars="0"/>
        <w:rPr>
          <w:rFonts w:hint="eastAsia"/>
          <w:lang w:val="en-US" w:eastAsia="zh-CN"/>
        </w:rPr>
      </w:pPr>
      <w:r>
        <w:rPr>
          <w:rFonts w:hint="eastAsia"/>
          <w:b/>
          <w:bCs/>
          <w:sz w:val="20"/>
          <w:szCs w:val="20"/>
          <w:lang w:val="en-US" w:eastAsia="zh-CN"/>
        </w:rPr>
        <w:t xml:space="preserve">Proposal 1: </w:t>
      </w:r>
      <w:r>
        <w:rPr>
          <w:rFonts w:hint="eastAsia"/>
          <w:b/>
          <w:bCs/>
          <w:i/>
          <w:sz w:val="20"/>
          <w:szCs w:val="20"/>
          <w:lang w:val="en-US" w:eastAsia="zh-CN"/>
        </w:rPr>
        <w:t>MT</w:t>
      </w:r>
      <w:r>
        <w:rPr>
          <w:b/>
          <w:bCs/>
          <w:i/>
          <w:sz w:val="20"/>
          <w:szCs w:val="20"/>
        </w:rPr>
        <w:t>-</w:t>
      </w:r>
      <w:r>
        <w:rPr>
          <w:rFonts w:hint="eastAsia"/>
          <w:b/>
          <w:bCs/>
          <w:i/>
          <w:sz w:val="20"/>
          <w:szCs w:val="20"/>
          <w:lang w:val="en-US" w:eastAsia="zh-CN"/>
        </w:rPr>
        <w:t>S</w:t>
      </w:r>
      <w:r>
        <w:rPr>
          <w:b/>
          <w:bCs/>
          <w:i/>
          <w:sz w:val="20"/>
          <w:szCs w:val="20"/>
        </w:rPr>
        <w:t>DT</w:t>
      </w:r>
      <w:r>
        <w:rPr>
          <w:b/>
          <w:bCs/>
          <w:sz w:val="20"/>
          <w:szCs w:val="20"/>
        </w:rPr>
        <w:t xml:space="preserve"> indication</w:t>
      </w:r>
      <w:r>
        <w:rPr>
          <w:rFonts w:hint="eastAsia"/>
          <w:b/>
          <w:bCs/>
          <w:sz w:val="20"/>
          <w:szCs w:val="20"/>
          <w:lang w:val="en-US" w:eastAsia="zh-CN"/>
        </w:rPr>
        <w:t xml:space="preserve"> in paging message should be further discussed.</w:t>
      </w:r>
    </w:p>
    <w:p>
      <w:pPr>
        <w:jc w:val="both"/>
        <w:rPr>
          <w:rFonts w:hint="default"/>
          <w:lang w:val="en-US" w:eastAsia="zh-CN"/>
        </w:rPr>
      </w:pPr>
      <w:r>
        <w:rPr>
          <w:rFonts w:hint="eastAsia"/>
          <w:b/>
          <w:bCs/>
          <w:sz w:val="20"/>
          <w:szCs w:val="20"/>
          <w:lang w:val="en-US" w:eastAsia="zh-CN"/>
        </w:rPr>
        <w:t>Proposal 2：Ask RAN2 to consider the flowchart in Fig.1 as the basic procedure for RA based MT-SDT.</w:t>
      </w:r>
    </w:p>
    <w:p>
      <w:pPr>
        <w:jc w:val="both"/>
        <w:rPr>
          <w:rFonts w:hint="eastAsia"/>
          <w:b/>
          <w:bCs/>
          <w:sz w:val="20"/>
          <w:szCs w:val="20"/>
          <w:lang w:val="en-US" w:eastAsia="zh-CN"/>
        </w:rPr>
      </w:pPr>
      <w:r>
        <w:rPr>
          <w:rFonts w:hint="eastAsia"/>
          <w:b/>
          <w:bCs/>
          <w:sz w:val="20"/>
          <w:szCs w:val="20"/>
          <w:lang w:val="en-US" w:eastAsia="zh-CN"/>
        </w:rPr>
        <w:t>Proposal 3：Ask RAN2 to consider the flowchart in Fig.2 as the basic procedure for SPS based MT-SDT.</w:t>
      </w:r>
    </w:p>
    <w:p>
      <w:pPr>
        <w:jc w:val="both"/>
        <w:rPr>
          <w:rFonts w:hint="eastAsia"/>
          <w:sz w:val="20"/>
          <w:szCs w:val="20"/>
        </w:rPr>
      </w:pPr>
      <w:r>
        <w:rPr>
          <w:rFonts w:hint="eastAsia"/>
          <w:b/>
          <w:bCs/>
          <w:sz w:val="20"/>
          <w:szCs w:val="20"/>
          <w:lang w:val="en-US" w:eastAsia="zh-CN"/>
        </w:rPr>
        <w:t>Proposal 4: Ask RAN2 to discuss MT-SDT scheme selection between RA and SPS based MT-SDT.</w:t>
      </w:r>
    </w:p>
    <w:p>
      <w:pPr>
        <w:rPr>
          <w:rFonts w:hint="eastAsia"/>
          <w:b/>
          <w:bCs/>
          <w:sz w:val="20"/>
          <w:szCs w:val="20"/>
          <w:lang w:val="en-US" w:eastAsia="zh-CN"/>
        </w:rPr>
      </w:pPr>
      <w:r>
        <w:rPr>
          <w:rFonts w:hint="eastAsia"/>
          <w:b/>
          <w:bCs/>
          <w:sz w:val="20"/>
          <w:szCs w:val="20"/>
          <w:lang w:val="en-US" w:eastAsia="zh-CN"/>
        </w:rPr>
        <w:t>proposal 5: gNB should indicate the subsequent DL data information to UE, if gNB decides to continue downlink data transmission to UE in RRC inactive state.</w:t>
      </w:r>
    </w:p>
    <w:p>
      <w:pPr>
        <w:jc w:val="both"/>
        <w:rPr>
          <w:rFonts w:hint="default"/>
          <w:b/>
          <w:bCs/>
          <w:sz w:val="20"/>
          <w:szCs w:val="20"/>
          <w:lang w:val="en-US" w:eastAsia="zh-CN"/>
        </w:rPr>
      </w:pPr>
      <w:r>
        <w:rPr>
          <w:rFonts w:hint="eastAsia"/>
          <w:b/>
          <w:bCs/>
          <w:sz w:val="20"/>
          <w:szCs w:val="20"/>
          <w:lang w:val="en-US" w:eastAsia="zh-CN"/>
        </w:rPr>
        <w:t>Proposal 6: Subsequent data indicator can be contained in MT-SDT indication in paging, if needed.</w:t>
      </w:r>
    </w:p>
    <w:p>
      <w:pPr>
        <w:rPr>
          <w:rFonts w:hint="eastAsia"/>
          <w:b/>
          <w:bCs/>
          <w:sz w:val="20"/>
          <w:szCs w:val="20"/>
          <w:lang w:val="en-US" w:eastAsia="zh-CN"/>
        </w:rPr>
      </w:pPr>
      <w:r>
        <w:rPr>
          <w:rFonts w:hint="eastAsia"/>
          <w:b/>
          <w:bCs/>
          <w:sz w:val="20"/>
          <w:szCs w:val="20"/>
          <w:lang w:val="en-US" w:eastAsia="zh-CN"/>
        </w:rPr>
        <w:t>Proposal 7: The MT-SDT UE will stop monitoring downlink data unless it receives subsequent data indicator.</w:t>
      </w:r>
    </w:p>
    <w:p>
      <w:pPr>
        <w:rPr>
          <w:rStyle w:val="80"/>
          <w:rFonts w:hint="default"/>
          <w:b/>
          <w:bCs/>
          <w:i w:val="0"/>
          <w:iCs w:val="0"/>
          <w:sz w:val="20"/>
          <w:szCs w:val="20"/>
          <w:lang w:val="en-US" w:eastAsia="zh-CN"/>
        </w:rPr>
      </w:pPr>
      <w:r>
        <w:rPr>
          <w:rStyle w:val="80"/>
          <w:rFonts w:hint="eastAsia"/>
          <w:b/>
          <w:bCs/>
          <w:i w:val="0"/>
          <w:iCs w:val="0"/>
          <w:sz w:val="20"/>
          <w:szCs w:val="20"/>
          <w:lang w:val="en-US" w:eastAsia="zh-CN"/>
        </w:rPr>
        <w:t>Proposal 8: Ask RAN2 to consider the DL and UL SDT transmission comprehensively.</w:t>
      </w:r>
    </w:p>
    <w:p>
      <w:pPr>
        <w:rPr>
          <w:rStyle w:val="80"/>
          <w:rFonts w:hint="eastAsia"/>
          <w:b/>
          <w:bCs/>
          <w:i w:val="0"/>
          <w:iCs w:val="0"/>
          <w:sz w:val="20"/>
          <w:szCs w:val="20"/>
          <w:lang w:val="en-US" w:eastAsia="zh-CN"/>
        </w:rPr>
      </w:pPr>
      <w:r>
        <w:rPr>
          <w:rStyle w:val="80"/>
          <w:rFonts w:hint="eastAsia"/>
          <w:b/>
          <w:bCs/>
          <w:i w:val="0"/>
          <w:iCs w:val="0"/>
          <w:sz w:val="20"/>
          <w:szCs w:val="20"/>
          <w:lang w:val="en-US" w:eastAsia="zh-CN"/>
        </w:rPr>
        <w:t xml:space="preserve">Proposal 9: If SPS-MT-SDT and CG-SDT is selected and operated, the downlink and uplink procedure can be handled as separated procedure, no matter whether there are subsequent DL and UL data or not. </w:t>
      </w:r>
    </w:p>
    <w:p>
      <w:pPr>
        <w:rPr>
          <w:rFonts w:hint="eastAsia"/>
          <w:b/>
          <w:bCs/>
          <w:sz w:val="20"/>
          <w:szCs w:val="20"/>
          <w:lang w:val="en-US" w:eastAsia="zh-CN"/>
        </w:rPr>
      </w:pPr>
    </w:p>
    <w:p>
      <w:pPr>
        <w:pStyle w:val="2"/>
        <w:rPr>
          <w:rFonts w:hint="eastAsia"/>
          <w:lang w:val="en-US" w:eastAsia="zh-CN"/>
        </w:rPr>
      </w:pPr>
      <w:r>
        <w:rPr>
          <w:rFonts w:hint="eastAsia"/>
          <w:lang w:val="en-US" w:eastAsia="zh-CN"/>
        </w:rPr>
        <w:t>References</w:t>
      </w:r>
    </w:p>
    <w:p>
      <w:pPr>
        <w:numPr>
          <w:ilvl w:val="0"/>
          <w:numId w:val="29"/>
        </w:numPr>
        <w:tabs>
          <w:tab w:val="left" w:pos="1985"/>
        </w:tabs>
        <w:adjustRightInd/>
        <w:ind w:left="1985" w:hanging="1985"/>
        <w:outlineLvl w:val="0"/>
        <w:rPr>
          <w:rFonts w:hint="default"/>
          <w:bCs/>
          <w:sz w:val="20"/>
          <w:szCs w:val="20"/>
          <w:lang w:val="en-US" w:eastAsia="zh-CN"/>
        </w:rPr>
      </w:pPr>
      <w:r>
        <w:rPr>
          <w:rFonts w:hint="eastAsia"/>
          <w:bCs/>
          <w:sz w:val="20"/>
          <w:szCs w:val="20"/>
          <w:lang w:val="en-US" w:eastAsia="zh-CN"/>
        </w:rPr>
        <w:t xml:space="preserve"> RP-213583, Mobile Terminated-Small Data Transmission (MT-SDT) for NR </w:t>
      </w:r>
    </w:p>
    <w:p>
      <w:pPr>
        <w:jc w:val="both"/>
        <w:rPr>
          <w:sz w:val="20"/>
          <w:szCs w:val="20"/>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59F32AB"/>
    <w:multiLevelType w:val="singleLevel"/>
    <w:tmpl w:val="259F32AB"/>
    <w:lvl w:ilvl="0" w:tentative="0">
      <w:start w:val="1"/>
      <w:numFmt w:val="decimal"/>
      <w:suff w:val="space"/>
      <w:lvlText w:val="[%1]"/>
      <w:lvlJc w:val="left"/>
    </w:lvl>
  </w:abstractNum>
  <w:abstractNum w:abstractNumId="6">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8F"/>
    <w:multiLevelType w:val="multilevel"/>
    <w:tmpl w:val="3137488F"/>
    <w:lvl w:ilvl="0" w:tentative="0">
      <w:start w:val="1"/>
      <w:numFmt w:val="decimal"/>
      <w:lvlText w:val="%1."/>
      <w:lvlJc w:val="left"/>
      <w:pPr>
        <w:ind w:left="1619" w:hanging="360"/>
      </w:pPr>
      <w:rPr>
        <w:rFonts w:hint="default"/>
        <w:color w:val="auto"/>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9">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3">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1">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5">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2"/>
  </w:num>
  <w:num w:numId="2">
    <w:abstractNumId w:val="0"/>
  </w:num>
  <w:num w:numId="3">
    <w:abstractNumId w:val="26"/>
  </w:num>
  <w:num w:numId="4">
    <w:abstractNumId w:val="13"/>
  </w:num>
  <w:num w:numId="5">
    <w:abstractNumId w:val="9"/>
  </w:num>
  <w:num w:numId="6">
    <w:abstractNumId w:val="11"/>
  </w:num>
  <w:num w:numId="7">
    <w:abstractNumId w:val="14"/>
  </w:num>
  <w:num w:numId="8">
    <w:abstractNumId w:val="15"/>
  </w:num>
  <w:num w:numId="9">
    <w:abstractNumId w:val="28"/>
  </w:num>
  <w:num w:numId="10">
    <w:abstractNumId w:val="16"/>
  </w:num>
  <w:num w:numId="11">
    <w:abstractNumId w:val="24"/>
  </w:num>
  <w:num w:numId="12">
    <w:abstractNumId w:val="12"/>
  </w:num>
  <w:num w:numId="13">
    <w:abstractNumId w:val="1"/>
  </w:num>
  <w:num w:numId="14">
    <w:abstractNumId w:val="3"/>
  </w:num>
  <w:num w:numId="15">
    <w:abstractNumId w:val="23"/>
  </w:num>
  <w:num w:numId="16">
    <w:abstractNumId w:val="7"/>
  </w:num>
  <w:num w:numId="17">
    <w:abstractNumId w:val="19"/>
  </w:num>
  <w:num w:numId="18">
    <w:abstractNumId w:val="25"/>
  </w:num>
  <w:num w:numId="19">
    <w:abstractNumId w:val="2"/>
  </w:num>
  <w:num w:numId="20">
    <w:abstractNumId w:val="27"/>
  </w:num>
  <w:num w:numId="21">
    <w:abstractNumId w:val="21"/>
  </w:num>
  <w:num w:numId="22">
    <w:abstractNumId w:val="10"/>
  </w:num>
  <w:num w:numId="23">
    <w:abstractNumId w:val="17"/>
  </w:num>
  <w:num w:numId="24">
    <w:abstractNumId w:val="18"/>
  </w:num>
  <w:num w:numId="25">
    <w:abstractNumId w:val="6"/>
  </w:num>
  <w:num w:numId="26">
    <w:abstractNumId w:val="4"/>
  </w:num>
  <w:num w:numId="27">
    <w:abstractNumId w:val="20"/>
  </w:num>
  <w:num w:numId="28">
    <w:abstractNumId w:val="8"/>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0D6"/>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D7FEF"/>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27743"/>
    <w:rsid w:val="00732383"/>
    <w:rsid w:val="007327A8"/>
    <w:rsid w:val="00732E84"/>
    <w:rsid w:val="00732EA5"/>
    <w:rsid w:val="00733B8A"/>
    <w:rsid w:val="00733BDE"/>
    <w:rsid w:val="00733FF0"/>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0E9E"/>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1BA5"/>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114"/>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426"/>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3A2682"/>
    <w:rsid w:val="015A5C58"/>
    <w:rsid w:val="016F3874"/>
    <w:rsid w:val="01700864"/>
    <w:rsid w:val="01FA450B"/>
    <w:rsid w:val="020E1AA3"/>
    <w:rsid w:val="023D4A41"/>
    <w:rsid w:val="026455A7"/>
    <w:rsid w:val="02C34159"/>
    <w:rsid w:val="02DE75F2"/>
    <w:rsid w:val="02EB1AD6"/>
    <w:rsid w:val="030848E7"/>
    <w:rsid w:val="030F7C19"/>
    <w:rsid w:val="032E5078"/>
    <w:rsid w:val="03514022"/>
    <w:rsid w:val="04080A73"/>
    <w:rsid w:val="041E5BEC"/>
    <w:rsid w:val="042F14C5"/>
    <w:rsid w:val="045308D9"/>
    <w:rsid w:val="045D09F3"/>
    <w:rsid w:val="04A157C0"/>
    <w:rsid w:val="04B42320"/>
    <w:rsid w:val="04E464D2"/>
    <w:rsid w:val="051E45B8"/>
    <w:rsid w:val="057D2586"/>
    <w:rsid w:val="05E0590D"/>
    <w:rsid w:val="06313A82"/>
    <w:rsid w:val="06345ED8"/>
    <w:rsid w:val="063D3FCC"/>
    <w:rsid w:val="066169B0"/>
    <w:rsid w:val="0679036E"/>
    <w:rsid w:val="06B9170C"/>
    <w:rsid w:val="06BD45EC"/>
    <w:rsid w:val="06F853B7"/>
    <w:rsid w:val="06FB1454"/>
    <w:rsid w:val="07056DF5"/>
    <w:rsid w:val="079A04BD"/>
    <w:rsid w:val="07BC1C0A"/>
    <w:rsid w:val="07DD5E2A"/>
    <w:rsid w:val="07E469BF"/>
    <w:rsid w:val="08174E79"/>
    <w:rsid w:val="081808A0"/>
    <w:rsid w:val="08315CF8"/>
    <w:rsid w:val="08363A09"/>
    <w:rsid w:val="086D4748"/>
    <w:rsid w:val="08EB0C1D"/>
    <w:rsid w:val="09196B83"/>
    <w:rsid w:val="09404C41"/>
    <w:rsid w:val="0942392A"/>
    <w:rsid w:val="096B504E"/>
    <w:rsid w:val="098D32A6"/>
    <w:rsid w:val="09AD672F"/>
    <w:rsid w:val="09BD6330"/>
    <w:rsid w:val="0A87677A"/>
    <w:rsid w:val="0AED09C6"/>
    <w:rsid w:val="0AF7356B"/>
    <w:rsid w:val="0B6D0532"/>
    <w:rsid w:val="0B9D1EDA"/>
    <w:rsid w:val="0BEF6379"/>
    <w:rsid w:val="0C0561B3"/>
    <w:rsid w:val="0C0C0559"/>
    <w:rsid w:val="0C284EC8"/>
    <w:rsid w:val="0C285E30"/>
    <w:rsid w:val="0C4A1412"/>
    <w:rsid w:val="0C4E6FDA"/>
    <w:rsid w:val="0C973F44"/>
    <w:rsid w:val="0CB30B60"/>
    <w:rsid w:val="0D2F3C11"/>
    <w:rsid w:val="0DE27015"/>
    <w:rsid w:val="0E22667F"/>
    <w:rsid w:val="0E362757"/>
    <w:rsid w:val="0EB02D5D"/>
    <w:rsid w:val="0EB31C68"/>
    <w:rsid w:val="0EBF58D7"/>
    <w:rsid w:val="0ED43620"/>
    <w:rsid w:val="0EE41340"/>
    <w:rsid w:val="0F51018B"/>
    <w:rsid w:val="0FE81BCC"/>
    <w:rsid w:val="0FF16A91"/>
    <w:rsid w:val="100C2D50"/>
    <w:rsid w:val="101E5354"/>
    <w:rsid w:val="10646F63"/>
    <w:rsid w:val="10C37F71"/>
    <w:rsid w:val="11652D87"/>
    <w:rsid w:val="116C3E69"/>
    <w:rsid w:val="119E6AC4"/>
    <w:rsid w:val="11D47AC4"/>
    <w:rsid w:val="11DA7F1D"/>
    <w:rsid w:val="11E95A8C"/>
    <w:rsid w:val="11FB6471"/>
    <w:rsid w:val="121014F6"/>
    <w:rsid w:val="12107F09"/>
    <w:rsid w:val="12571C31"/>
    <w:rsid w:val="12960B26"/>
    <w:rsid w:val="12EC2AC3"/>
    <w:rsid w:val="134A7123"/>
    <w:rsid w:val="13E92207"/>
    <w:rsid w:val="13E96D0B"/>
    <w:rsid w:val="14062C4D"/>
    <w:rsid w:val="141472D0"/>
    <w:rsid w:val="14650CAE"/>
    <w:rsid w:val="14761278"/>
    <w:rsid w:val="1489558A"/>
    <w:rsid w:val="14994D36"/>
    <w:rsid w:val="14A33E1E"/>
    <w:rsid w:val="14D60C00"/>
    <w:rsid w:val="15DD707B"/>
    <w:rsid w:val="16665DCF"/>
    <w:rsid w:val="1669724C"/>
    <w:rsid w:val="16C97B1E"/>
    <w:rsid w:val="17642A82"/>
    <w:rsid w:val="17DA3C99"/>
    <w:rsid w:val="181C3988"/>
    <w:rsid w:val="1858112E"/>
    <w:rsid w:val="18B67761"/>
    <w:rsid w:val="18DD4580"/>
    <w:rsid w:val="192A5F9C"/>
    <w:rsid w:val="19625EA7"/>
    <w:rsid w:val="19FC4481"/>
    <w:rsid w:val="1A0B7235"/>
    <w:rsid w:val="1A0F3859"/>
    <w:rsid w:val="1A1E312F"/>
    <w:rsid w:val="1A2D0BB7"/>
    <w:rsid w:val="1A847D79"/>
    <w:rsid w:val="1AE9373A"/>
    <w:rsid w:val="1AF00B66"/>
    <w:rsid w:val="1B1A1D61"/>
    <w:rsid w:val="1B1E08AD"/>
    <w:rsid w:val="1B1F2A63"/>
    <w:rsid w:val="1B317EFE"/>
    <w:rsid w:val="1B4B454D"/>
    <w:rsid w:val="1B5D0142"/>
    <w:rsid w:val="1B7549E9"/>
    <w:rsid w:val="1C1355FA"/>
    <w:rsid w:val="1C247316"/>
    <w:rsid w:val="1C2709E7"/>
    <w:rsid w:val="1C3E267B"/>
    <w:rsid w:val="1C5E659F"/>
    <w:rsid w:val="1C6875C3"/>
    <w:rsid w:val="1C692D59"/>
    <w:rsid w:val="1C911B84"/>
    <w:rsid w:val="1CD46CF8"/>
    <w:rsid w:val="1CEA5442"/>
    <w:rsid w:val="1CF16498"/>
    <w:rsid w:val="1CFA3FB4"/>
    <w:rsid w:val="1D452306"/>
    <w:rsid w:val="1D6C17D9"/>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8445D5"/>
    <w:rsid w:val="20DD6123"/>
    <w:rsid w:val="212F30E0"/>
    <w:rsid w:val="214E3556"/>
    <w:rsid w:val="215640D4"/>
    <w:rsid w:val="215A1AE8"/>
    <w:rsid w:val="21725D75"/>
    <w:rsid w:val="219951C9"/>
    <w:rsid w:val="21A8300F"/>
    <w:rsid w:val="21BA5141"/>
    <w:rsid w:val="220021FF"/>
    <w:rsid w:val="2209468E"/>
    <w:rsid w:val="22101153"/>
    <w:rsid w:val="22486A9B"/>
    <w:rsid w:val="22627E92"/>
    <w:rsid w:val="227007B2"/>
    <w:rsid w:val="23272D23"/>
    <w:rsid w:val="234C6F41"/>
    <w:rsid w:val="236B5F79"/>
    <w:rsid w:val="239D1587"/>
    <w:rsid w:val="243D7BB4"/>
    <w:rsid w:val="245576DD"/>
    <w:rsid w:val="25277A37"/>
    <w:rsid w:val="252F40FE"/>
    <w:rsid w:val="254F64C4"/>
    <w:rsid w:val="25506221"/>
    <w:rsid w:val="25615119"/>
    <w:rsid w:val="25A66C1E"/>
    <w:rsid w:val="25A72122"/>
    <w:rsid w:val="25BA7556"/>
    <w:rsid w:val="25C703D4"/>
    <w:rsid w:val="25DB605E"/>
    <w:rsid w:val="2611234C"/>
    <w:rsid w:val="26157A9A"/>
    <w:rsid w:val="262A7837"/>
    <w:rsid w:val="264A04A5"/>
    <w:rsid w:val="26770BF0"/>
    <w:rsid w:val="26784C00"/>
    <w:rsid w:val="2683479B"/>
    <w:rsid w:val="26EB4E1D"/>
    <w:rsid w:val="26FF5A08"/>
    <w:rsid w:val="276F47C4"/>
    <w:rsid w:val="27AE3022"/>
    <w:rsid w:val="28014453"/>
    <w:rsid w:val="28202FCE"/>
    <w:rsid w:val="285C498E"/>
    <w:rsid w:val="288D4CC2"/>
    <w:rsid w:val="289C656C"/>
    <w:rsid w:val="28A94470"/>
    <w:rsid w:val="28EB3A97"/>
    <w:rsid w:val="28F858F5"/>
    <w:rsid w:val="29003519"/>
    <w:rsid w:val="290B640E"/>
    <w:rsid w:val="29653351"/>
    <w:rsid w:val="29675EF0"/>
    <w:rsid w:val="297660D0"/>
    <w:rsid w:val="29C31412"/>
    <w:rsid w:val="2AD838B4"/>
    <w:rsid w:val="2B1859F0"/>
    <w:rsid w:val="2B1F140B"/>
    <w:rsid w:val="2BE03C0A"/>
    <w:rsid w:val="2BE14068"/>
    <w:rsid w:val="2BF414F8"/>
    <w:rsid w:val="2C7E00A0"/>
    <w:rsid w:val="2CC60B50"/>
    <w:rsid w:val="2CF36669"/>
    <w:rsid w:val="2D0265D3"/>
    <w:rsid w:val="2D397C4C"/>
    <w:rsid w:val="2D446AC7"/>
    <w:rsid w:val="2D9D0469"/>
    <w:rsid w:val="2DA47739"/>
    <w:rsid w:val="2E051F82"/>
    <w:rsid w:val="2E066346"/>
    <w:rsid w:val="2E4329AA"/>
    <w:rsid w:val="2E6C1280"/>
    <w:rsid w:val="2E933902"/>
    <w:rsid w:val="2ED536B1"/>
    <w:rsid w:val="2EF129F8"/>
    <w:rsid w:val="2F7A3D01"/>
    <w:rsid w:val="302C20AA"/>
    <w:rsid w:val="30881314"/>
    <w:rsid w:val="30E65C36"/>
    <w:rsid w:val="313C0D86"/>
    <w:rsid w:val="31934393"/>
    <w:rsid w:val="323F7400"/>
    <w:rsid w:val="329D4E6D"/>
    <w:rsid w:val="329D6A61"/>
    <w:rsid w:val="32A11937"/>
    <w:rsid w:val="32A82519"/>
    <w:rsid w:val="32CB3652"/>
    <w:rsid w:val="32E227D9"/>
    <w:rsid w:val="33080D5E"/>
    <w:rsid w:val="331C3CDD"/>
    <w:rsid w:val="333B18DB"/>
    <w:rsid w:val="33717AE2"/>
    <w:rsid w:val="33AB5163"/>
    <w:rsid w:val="33C807CE"/>
    <w:rsid w:val="34583C03"/>
    <w:rsid w:val="348F73AD"/>
    <w:rsid w:val="34933CBE"/>
    <w:rsid w:val="34DD24FD"/>
    <w:rsid w:val="359A3911"/>
    <w:rsid w:val="35A00268"/>
    <w:rsid w:val="36B0140A"/>
    <w:rsid w:val="36D26B16"/>
    <w:rsid w:val="373C0908"/>
    <w:rsid w:val="3754317B"/>
    <w:rsid w:val="376343E3"/>
    <w:rsid w:val="37D116D4"/>
    <w:rsid w:val="382A563E"/>
    <w:rsid w:val="38423FA1"/>
    <w:rsid w:val="38765B93"/>
    <w:rsid w:val="38AA05FF"/>
    <w:rsid w:val="38D231CA"/>
    <w:rsid w:val="38E00D4B"/>
    <w:rsid w:val="39390E32"/>
    <w:rsid w:val="397E30A1"/>
    <w:rsid w:val="39BD417A"/>
    <w:rsid w:val="39DC7A5C"/>
    <w:rsid w:val="3A30015A"/>
    <w:rsid w:val="3A992A45"/>
    <w:rsid w:val="3A9A0868"/>
    <w:rsid w:val="3B126914"/>
    <w:rsid w:val="3B45403E"/>
    <w:rsid w:val="3BAA7C9F"/>
    <w:rsid w:val="3BCA6819"/>
    <w:rsid w:val="3BE512AD"/>
    <w:rsid w:val="3BEE5E77"/>
    <w:rsid w:val="3BF3033E"/>
    <w:rsid w:val="3CBD7CCD"/>
    <w:rsid w:val="3CCF0A8C"/>
    <w:rsid w:val="3CF05EED"/>
    <w:rsid w:val="3D0A20B5"/>
    <w:rsid w:val="3D4739DE"/>
    <w:rsid w:val="3D733843"/>
    <w:rsid w:val="3E0C4398"/>
    <w:rsid w:val="3E3775C4"/>
    <w:rsid w:val="3E917879"/>
    <w:rsid w:val="3E9714F9"/>
    <w:rsid w:val="3EA12140"/>
    <w:rsid w:val="3EC978CF"/>
    <w:rsid w:val="3F0C349F"/>
    <w:rsid w:val="3F0C727A"/>
    <w:rsid w:val="3F301EA6"/>
    <w:rsid w:val="3F44519E"/>
    <w:rsid w:val="3F6C4FBD"/>
    <w:rsid w:val="3F932207"/>
    <w:rsid w:val="3F9E57FE"/>
    <w:rsid w:val="3FC311DD"/>
    <w:rsid w:val="3FDC04C9"/>
    <w:rsid w:val="400060CE"/>
    <w:rsid w:val="401563C2"/>
    <w:rsid w:val="40AA4C70"/>
    <w:rsid w:val="40E50F28"/>
    <w:rsid w:val="416F2A2F"/>
    <w:rsid w:val="41834EF8"/>
    <w:rsid w:val="41BB57DA"/>
    <w:rsid w:val="41CF2ADC"/>
    <w:rsid w:val="41F376E4"/>
    <w:rsid w:val="41F8184D"/>
    <w:rsid w:val="420954FF"/>
    <w:rsid w:val="42676BBA"/>
    <w:rsid w:val="4268251E"/>
    <w:rsid w:val="42E72CD4"/>
    <w:rsid w:val="43370F53"/>
    <w:rsid w:val="437A6E9D"/>
    <w:rsid w:val="43A37E1F"/>
    <w:rsid w:val="43C20BB6"/>
    <w:rsid w:val="43F1074E"/>
    <w:rsid w:val="44797A86"/>
    <w:rsid w:val="448A299B"/>
    <w:rsid w:val="44B0213F"/>
    <w:rsid w:val="44C70D28"/>
    <w:rsid w:val="44D668EB"/>
    <w:rsid w:val="453B6B7F"/>
    <w:rsid w:val="46374870"/>
    <w:rsid w:val="464E5DF8"/>
    <w:rsid w:val="46600699"/>
    <w:rsid w:val="46A87496"/>
    <w:rsid w:val="46AC0522"/>
    <w:rsid w:val="46EF197F"/>
    <w:rsid w:val="46FB1DBC"/>
    <w:rsid w:val="48005341"/>
    <w:rsid w:val="48287A01"/>
    <w:rsid w:val="48531F4C"/>
    <w:rsid w:val="485E1AE5"/>
    <w:rsid w:val="4883458D"/>
    <w:rsid w:val="490C46B1"/>
    <w:rsid w:val="49196BD9"/>
    <w:rsid w:val="491A6549"/>
    <w:rsid w:val="493E309A"/>
    <w:rsid w:val="4944338E"/>
    <w:rsid w:val="49591134"/>
    <w:rsid w:val="49791FD2"/>
    <w:rsid w:val="499D10E1"/>
    <w:rsid w:val="49D23359"/>
    <w:rsid w:val="49D54A18"/>
    <w:rsid w:val="49E46EA6"/>
    <w:rsid w:val="49FB4FB3"/>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427715"/>
    <w:rsid w:val="4C61521F"/>
    <w:rsid w:val="4C792F14"/>
    <w:rsid w:val="4C7E7582"/>
    <w:rsid w:val="4CA43A25"/>
    <w:rsid w:val="4CDC6792"/>
    <w:rsid w:val="4CE044DF"/>
    <w:rsid w:val="4D1A1E8F"/>
    <w:rsid w:val="4D447F1D"/>
    <w:rsid w:val="4D530ADD"/>
    <w:rsid w:val="4DAE0631"/>
    <w:rsid w:val="4DFA408F"/>
    <w:rsid w:val="4E02717A"/>
    <w:rsid w:val="4E420051"/>
    <w:rsid w:val="4E6B5155"/>
    <w:rsid w:val="4F0D2C05"/>
    <w:rsid w:val="4F0E74E4"/>
    <w:rsid w:val="4F404F91"/>
    <w:rsid w:val="4F8E3C09"/>
    <w:rsid w:val="4F9A23CE"/>
    <w:rsid w:val="4FC229D2"/>
    <w:rsid w:val="500D6DA7"/>
    <w:rsid w:val="50265CE3"/>
    <w:rsid w:val="506C7C75"/>
    <w:rsid w:val="50712D05"/>
    <w:rsid w:val="51390CEF"/>
    <w:rsid w:val="51452B0B"/>
    <w:rsid w:val="51BD3E49"/>
    <w:rsid w:val="522E24E0"/>
    <w:rsid w:val="5245168D"/>
    <w:rsid w:val="527B5C87"/>
    <w:rsid w:val="530128AB"/>
    <w:rsid w:val="5306085A"/>
    <w:rsid w:val="531F5F5B"/>
    <w:rsid w:val="533C6DEA"/>
    <w:rsid w:val="534D4AA2"/>
    <w:rsid w:val="54363813"/>
    <w:rsid w:val="547225E2"/>
    <w:rsid w:val="54881577"/>
    <w:rsid w:val="549E77D2"/>
    <w:rsid w:val="54B57839"/>
    <w:rsid w:val="55013843"/>
    <w:rsid w:val="553C28FF"/>
    <w:rsid w:val="5566063A"/>
    <w:rsid w:val="55806ED8"/>
    <w:rsid w:val="5595273D"/>
    <w:rsid w:val="55A27FF4"/>
    <w:rsid w:val="55AA5A00"/>
    <w:rsid w:val="56170F20"/>
    <w:rsid w:val="562B1FCE"/>
    <w:rsid w:val="57044630"/>
    <w:rsid w:val="578616C7"/>
    <w:rsid w:val="579C2E51"/>
    <w:rsid w:val="57AA5DA7"/>
    <w:rsid w:val="57B73179"/>
    <w:rsid w:val="57BA773A"/>
    <w:rsid w:val="57C17E12"/>
    <w:rsid w:val="57D4618D"/>
    <w:rsid w:val="57DD46EC"/>
    <w:rsid w:val="58137757"/>
    <w:rsid w:val="586C74C7"/>
    <w:rsid w:val="587F7544"/>
    <w:rsid w:val="58C170CF"/>
    <w:rsid w:val="58D170FA"/>
    <w:rsid w:val="59140A5F"/>
    <w:rsid w:val="5925167D"/>
    <w:rsid w:val="59482A6C"/>
    <w:rsid w:val="598307B6"/>
    <w:rsid w:val="5A0751DF"/>
    <w:rsid w:val="5A36690C"/>
    <w:rsid w:val="5A9364AA"/>
    <w:rsid w:val="5A975A33"/>
    <w:rsid w:val="5A9E094C"/>
    <w:rsid w:val="5B65364C"/>
    <w:rsid w:val="5B7261F7"/>
    <w:rsid w:val="5BC64B0C"/>
    <w:rsid w:val="5BF131EC"/>
    <w:rsid w:val="5C6E5495"/>
    <w:rsid w:val="5CBD41C9"/>
    <w:rsid w:val="5CE2002D"/>
    <w:rsid w:val="5D2B6741"/>
    <w:rsid w:val="5D3C25A7"/>
    <w:rsid w:val="5D8461BB"/>
    <w:rsid w:val="5D8A5196"/>
    <w:rsid w:val="5E6231C2"/>
    <w:rsid w:val="5E82797F"/>
    <w:rsid w:val="5EA740E5"/>
    <w:rsid w:val="5F0C6534"/>
    <w:rsid w:val="5F1B13C2"/>
    <w:rsid w:val="5F296D83"/>
    <w:rsid w:val="5F3A587A"/>
    <w:rsid w:val="5F5F66B6"/>
    <w:rsid w:val="5F7D1182"/>
    <w:rsid w:val="5FD12347"/>
    <w:rsid w:val="601042AB"/>
    <w:rsid w:val="60476847"/>
    <w:rsid w:val="606C6E90"/>
    <w:rsid w:val="60743A6C"/>
    <w:rsid w:val="608E0279"/>
    <w:rsid w:val="60F729B1"/>
    <w:rsid w:val="616853DA"/>
    <w:rsid w:val="61AC68AE"/>
    <w:rsid w:val="61EF5BCF"/>
    <w:rsid w:val="625A56DC"/>
    <w:rsid w:val="62794CFA"/>
    <w:rsid w:val="627A203F"/>
    <w:rsid w:val="629E1070"/>
    <w:rsid w:val="62B17564"/>
    <w:rsid w:val="62D51FB1"/>
    <w:rsid w:val="62E83A30"/>
    <w:rsid w:val="630172BC"/>
    <w:rsid w:val="630B55E9"/>
    <w:rsid w:val="63C45036"/>
    <w:rsid w:val="64256E1C"/>
    <w:rsid w:val="647A74F6"/>
    <w:rsid w:val="64964044"/>
    <w:rsid w:val="64AA5431"/>
    <w:rsid w:val="64DA6FAB"/>
    <w:rsid w:val="64E56156"/>
    <w:rsid w:val="64F473DD"/>
    <w:rsid w:val="650A1317"/>
    <w:rsid w:val="653127E3"/>
    <w:rsid w:val="655004B1"/>
    <w:rsid w:val="656F573E"/>
    <w:rsid w:val="65D106FE"/>
    <w:rsid w:val="660C28DA"/>
    <w:rsid w:val="662315AA"/>
    <w:rsid w:val="664B6253"/>
    <w:rsid w:val="66655503"/>
    <w:rsid w:val="66850C0A"/>
    <w:rsid w:val="66B01AB5"/>
    <w:rsid w:val="66C1100A"/>
    <w:rsid w:val="66CF5564"/>
    <w:rsid w:val="66D72064"/>
    <w:rsid w:val="66EF4E9B"/>
    <w:rsid w:val="673A5CF7"/>
    <w:rsid w:val="67902879"/>
    <w:rsid w:val="67B51C00"/>
    <w:rsid w:val="67CF591E"/>
    <w:rsid w:val="67D85628"/>
    <w:rsid w:val="67E12EC3"/>
    <w:rsid w:val="68046A5D"/>
    <w:rsid w:val="680C7AA7"/>
    <w:rsid w:val="684A6F24"/>
    <w:rsid w:val="68550DB9"/>
    <w:rsid w:val="6856768B"/>
    <w:rsid w:val="68975838"/>
    <w:rsid w:val="68A6730E"/>
    <w:rsid w:val="68E67A18"/>
    <w:rsid w:val="68F36AD9"/>
    <w:rsid w:val="69413541"/>
    <w:rsid w:val="69797C2C"/>
    <w:rsid w:val="69983703"/>
    <w:rsid w:val="69B9178D"/>
    <w:rsid w:val="69D44E75"/>
    <w:rsid w:val="6A2F624F"/>
    <w:rsid w:val="6A656B97"/>
    <w:rsid w:val="6A834862"/>
    <w:rsid w:val="6ADF1CF0"/>
    <w:rsid w:val="6B027B91"/>
    <w:rsid w:val="6B3055CD"/>
    <w:rsid w:val="6B47388C"/>
    <w:rsid w:val="6B58643F"/>
    <w:rsid w:val="6B5A3D5E"/>
    <w:rsid w:val="6BC94603"/>
    <w:rsid w:val="6C29676B"/>
    <w:rsid w:val="6C30519E"/>
    <w:rsid w:val="6C340669"/>
    <w:rsid w:val="6C690BF6"/>
    <w:rsid w:val="6C6F1644"/>
    <w:rsid w:val="6CED6020"/>
    <w:rsid w:val="6D185857"/>
    <w:rsid w:val="6D2115AE"/>
    <w:rsid w:val="6D4F21E4"/>
    <w:rsid w:val="6DA80A88"/>
    <w:rsid w:val="6E1C1ECF"/>
    <w:rsid w:val="6E207D23"/>
    <w:rsid w:val="6EBC1F7A"/>
    <w:rsid w:val="6EDE6175"/>
    <w:rsid w:val="6EE01391"/>
    <w:rsid w:val="6EE26350"/>
    <w:rsid w:val="6FAC21AA"/>
    <w:rsid w:val="6FB67CAC"/>
    <w:rsid w:val="6FB924D4"/>
    <w:rsid w:val="703B48E2"/>
    <w:rsid w:val="70437D94"/>
    <w:rsid w:val="705B2CC4"/>
    <w:rsid w:val="706B1388"/>
    <w:rsid w:val="710B205E"/>
    <w:rsid w:val="71362F62"/>
    <w:rsid w:val="7145058E"/>
    <w:rsid w:val="71607594"/>
    <w:rsid w:val="71B93EFE"/>
    <w:rsid w:val="73046DBD"/>
    <w:rsid w:val="73090D91"/>
    <w:rsid w:val="73114EB7"/>
    <w:rsid w:val="733A6D35"/>
    <w:rsid w:val="73837BE8"/>
    <w:rsid w:val="73D52D85"/>
    <w:rsid w:val="73DB5A09"/>
    <w:rsid w:val="73E464D7"/>
    <w:rsid w:val="73E7573C"/>
    <w:rsid w:val="73F13AE7"/>
    <w:rsid w:val="740B06CE"/>
    <w:rsid w:val="74143A67"/>
    <w:rsid w:val="74167847"/>
    <w:rsid w:val="744A1D0A"/>
    <w:rsid w:val="74903046"/>
    <w:rsid w:val="74DC7528"/>
    <w:rsid w:val="74E60778"/>
    <w:rsid w:val="7513388E"/>
    <w:rsid w:val="7532441A"/>
    <w:rsid w:val="759E5E48"/>
    <w:rsid w:val="7658671B"/>
    <w:rsid w:val="76652C2D"/>
    <w:rsid w:val="76760459"/>
    <w:rsid w:val="767A30CF"/>
    <w:rsid w:val="769A3E41"/>
    <w:rsid w:val="76D04DF9"/>
    <w:rsid w:val="77380522"/>
    <w:rsid w:val="77893E6E"/>
    <w:rsid w:val="779020BC"/>
    <w:rsid w:val="779C3278"/>
    <w:rsid w:val="77B76ADD"/>
    <w:rsid w:val="7806439B"/>
    <w:rsid w:val="78156E80"/>
    <w:rsid w:val="782F1FFA"/>
    <w:rsid w:val="78437DCE"/>
    <w:rsid w:val="78A236C7"/>
    <w:rsid w:val="78F53995"/>
    <w:rsid w:val="790D37DC"/>
    <w:rsid w:val="791C470F"/>
    <w:rsid w:val="791E5960"/>
    <w:rsid w:val="792D2A7B"/>
    <w:rsid w:val="79357CA6"/>
    <w:rsid w:val="794F0B2C"/>
    <w:rsid w:val="79652465"/>
    <w:rsid w:val="79912C69"/>
    <w:rsid w:val="7991456A"/>
    <w:rsid w:val="7A7418F1"/>
    <w:rsid w:val="7A8B0FFA"/>
    <w:rsid w:val="7A9F3973"/>
    <w:rsid w:val="7AD11063"/>
    <w:rsid w:val="7B1C4980"/>
    <w:rsid w:val="7B3A2D1E"/>
    <w:rsid w:val="7B727A3F"/>
    <w:rsid w:val="7B762B8A"/>
    <w:rsid w:val="7B7F22C5"/>
    <w:rsid w:val="7B9C4E24"/>
    <w:rsid w:val="7C2615A0"/>
    <w:rsid w:val="7C764052"/>
    <w:rsid w:val="7D8C6F97"/>
    <w:rsid w:val="7DE54A3D"/>
    <w:rsid w:val="7E09207F"/>
    <w:rsid w:val="7E113B9C"/>
    <w:rsid w:val="7E2C1F7D"/>
    <w:rsid w:val="7E7D6083"/>
    <w:rsid w:val="7E863A85"/>
    <w:rsid w:val="7E987B27"/>
    <w:rsid w:val="7EDB244F"/>
    <w:rsid w:val="7EE10E29"/>
    <w:rsid w:val="7EEE5756"/>
    <w:rsid w:val="7F041201"/>
    <w:rsid w:val="7F19628C"/>
    <w:rsid w:val="7F3E04CE"/>
    <w:rsid w:val="7FA37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00BC9A-A25E-44A8-9F42-5358075642B8}">
  <ds:schemaRefs/>
</ds:datastoreItem>
</file>

<file path=docProps/app.xml><?xml version="1.0" encoding="utf-8"?>
<Properties xmlns="http://schemas.openxmlformats.org/officeDocument/2006/extended-properties" xmlns:vt="http://schemas.openxmlformats.org/officeDocument/2006/docPropsVTypes">
  <Template>Normal</Template>
  <Pages>8</Pages>
  <Words>1929</Words>
  <Characters>10999</Characters>
  <Lines>91</Lines>
  <Paragraphs>25</Paragraphs>
  <TotalTime>56</TotalTime>
  <ScaleCrop>false</ScaleCrop>
  <LinksUpToDate>false</LinksUpToDate>
  <CharactersWithSpaces>12903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2022-08-10T03:14:00Z</dcterms:created>
  <dc:creator>QiuZhihong</dc:creator>
  <cp:lastModifiedBy>浓夏未央</cp:lastModifiedBy>
  <cp:lastPrinted>2018-09-28T06:47:00Z</cp:lastPrinted>
  <dcterms:modified xsi:type="dcterms:W3CDTF">2023-02-17T03:24:03Z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